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0" w:before="1200" w:line="276"/>
        <w:jc w:val="left"/>
      </w:pPr>
      <w:r>
        <w:rPr>
          <w:rFonts w:ascii="Arial" w:cs="Arial" w:eastAsia="Arial" w:hAnsi="Arial"/>
          <w:b/>
          <w:bCs/>
          <w:i w:val="false"/>
          <w:iCs w:val="false"/>
          <w:color w:val="999999"/>
          <w:sz w:val="18"/>
          <w:szCs w:val="18"/>
        </w:rPr>
        <w:t xml:space="preserve">CONFIDENTIAL</w:t>
      </w:r>
    </w:p>
    <w:p>
      <w:pPr>
        <w:spacing w:after="400" w:before="0" w:line="276"/>
        <w:jc w:val="left"/>
      </w:pPr>
      <w:r>
        <w:rPr>
          <w:rFonts w:ascii="Arial" w:cs="Arial" w:eastAsia="Arial" w:hAnsi="Arial"/>
          <w:b/>
          <w:bCs/>
          <w:i w:val="false"/>
          <w:iCs w:val="false"/>
          <w:color w:val="5BA8D6"/>
          <w:sz w:val="20"/>
          <w:szCs w:val="20"/>
        </w:rPr>
        <w:t xml:space="preserve">Communications Strategy Brief</w:t>
      </w:r>
    </w:p>
    <w:p>
      <w:pPr>
        <w:spacing w:after="200"/>
      </w:pPr>
      <w:r>
        <w:rPr>
          <w:rFonts w:ascii="Arial" w:cs="Arial" w:eastAsia="Arial" w:hAnsi="Arial"/>
          <w:b/>
          <w:bCs/>
          <w:color w:val="333333"/>
          <w:sz w:val="48"/>
          <w:szCs w:val="48"/>
        </w:rPr>
        <w:t xml:space="preserve">Boeing: Rebuilding Trust After 737 Max</w:t>
      </w:r>
    </w:p>
    <w:p>
      <w:pPr>
        <w:spacing w:after="600" w:before="0" w:line="276"/>
        <w:jc w:val="left"/>
      </w:pPr>
      <w:r>
        <w:rPr>
          <w:rFonts w:ascii="Arial" w:cs="Arial" w:eastAsia="Arial" w:hAnsi="Arial"/>
          <w:b w:val="false"/>
          <w:bCs w:val="false"/>
          <w:i/>
          <w:iCs/>
          <w:color w:val="666666"/>
          <w:sz w:val="24"/>
          <w:szCs w:val="24"/>
        </w:rPr>
        <w:t xml:space="preserve">Project Altitude</w:t>
      </w:r>
    </w:p>
    <w:p>
      <w:pPr>
        <w:spacing w:after="200" w:before="0" w:line="276"/>
        <w:jc w:val="left"/>
      </w:pPr>
      <w:r>
        <w:rPr>
          <w:rFonts w:ascii="Arial" w:cs="Arial" w:eastAsia="Arial" w:hAnsi="Arial"/>
          <w:b w:val="false"/>
          <w:bCs w:val="false"/>
          <w:i w:val="false"/>
          <w:iCs w:val="false"/>
          <w:color w:val="333333"/>
          <w:sz w:val="22"/>
          <w:szCs w:val="22"/>
        </w:rPr>
        <w:t xml:space="preserve">February 2026</w:t>
      </w:r>
    </w:p>
    <w:p>
      <w:pPr>
        <w:spacing w:after="100" w:before="0" w:line="276"/>
        <w:jc w:val="left"/>
      </w:pPr>
      <w:r>
        <w:rPr>
          <w:rFonts w:ascii="Arial" w:cs="Arial" w:eastAsia="Arial" w:hAnsi="Arial"/>
          <w:b w:val="false"/>
          <w:bCs w:val="false"/>
          <w:i w:val="false"/>
          <w:iCs w:val="false"/>
          <w:color w:val="666666"/>
          <w:sz w:val="20"/>
          <w:szCs w:val="20"/>
        </w:rPr>
        <w:t xml:space="preserve">Document Classification: Strategic - Restricted Access</w:t>
      </w:r>
    </w:p>
    <w:p>
      <w:pPr>
        <w:spacing w:after="100" w:before="0" w:line="276"/>
        <w:jc w:val="left"/>
      </w:pPr>
      <w:r>
        <w:rPr>
          <w:rFonts w:ascii="Arial" w:cs="Arial" w:eastAsia="Arial" w:hAnsi="Arial"/>
          <w:b w:val="false"/>
          <w:bCs w:val="false"/>
          <w:i w:val="false"/>
          <w:iCs w:val="false"/>
          <w:color w:val="666666"/>
          <w:sz w:val="20"/>
          <w:szCs w:val="20"/>
        </w:rPr>
        <w:t xml:space="preserve">Distribution: Agency partners under NDA only</w:t>
      </w:r>
    </w:p>
    <w:p>
      <w:pPr>
        <w:pStyle w:val="Heading1"/>
        <w:pageBreakBefore/>
        <w:spacing w:before="0" w:after="240"/>
      </w:pPr>
      <w:r>
        <w:rPr>
          <w:rFonts w:ascii="Arial" w:cs="Arial" w:eastAsia="Arial" w:hAnsi="Arial"/>
          <w:b/>
          <w:bCs/>
          <w:color w:val="5BA8D6"/>
          <w:sz w:val="32"/>
          <w:szCs w:val="32"/>
        </w:rPr>
        <w:t xml:space="preserve">Executive Summary</w:t>
      </w:r>
    </w:p>
    <w:p>
      <w:pPr>
        <w:spacing w:after="200" w:before="0" w:line="276"/>
        <w:jc w:val="left"/>
      </w:pPr>
      <w:r>
        <w:rPr>
          <w:rFonts w:ascii="Arial" w:cs="Arial" w:eastAsia="Arial" w:hAnsi="Arial"/>
          <w:b w:val="false"/>
          <w:bCs w:val="false"/>
          <w:i w:val="false"/>
          <w:iCs w:val="false"/>
          <w:color w:val="333333"/>
          <w:sz w:val="22"/>
          <w:szCs w:val="22"/>
        </w:rPr>
        <w:t xml:space="preserve">Boeing is the world’s largest aerospace company, America’s biggest manufacturing exporter, and one of only two companies on earth capable of building large commercial aircraft. It employs approximately 170,000 people worldwide and its aircraft carry millions of passengers every day. For over a century, Boeing has been synonymous with flight itself.</w:t>
      </w:r>
    </w:p>
    <w:p>
      <w:pPr>
        <w:spacing w:after="200" w:before="0" w:line="276"/>
        <w:jc w:val="left"/>
      </w:pPr>
      <w:r>
        <w:rPr>
          <w:rFonts w:ascii="Arial" w:cs="Arial" w:eastAsia="Arial" w:hAnsi="Arial"/>
          <w:b w:val="false"/>
          <w:bCs w:val="false"/>
          <w:i w:val="false"/>
          <w:iCs w:val="false"/>
          <w:color w:val="333333"/>
          <w:sz w:val="22"/>
          <w:szCs w:val="22"/>
        </w:rPr>
        <w:t xml:space="preserve">Two crashes of the 737 Max – Lion Air Flight 610 in October 2018 and Ethiopian Airlines Flight 302 in March 2019 – killed 346 people. Subsequent investigations revealed that Boeing had prioritised speed-to-market over safety, misled the Federal Aviation Administration about a critical flight control system, and fostered an internal culture that punished dissent and rewarded production targets above engineering rigour.</w:t>
      </w:r>
    </w:p>
    <w:p>
      <w:pPr>
        <w:spacing w:after="200" w:before="0" w:line="276"/>
        <w:jc w:val="left"/>
      </w:pPr>
      <w:r>
        <w:rPr>
          <w:rFonts w:ascii="Arial" w:cs="Arial" w:eastAsia="Arial" w:hAnsi="Arial"/>
          <w:b w:val="false"/>
          <w:bCs w:val="false"/>
          <w:i w:val="false"/>
          <w:iCs w:val="false"/>
          <w:color w:val="333333"/>
          <w:sz w:val="22"/>
          <w:szCs w:val="22"/>
        </w:rPr>
        <w:t xml:space="preserve">The 737 Max was grounded worldwide for 20 months, the longest grounding of a commercial aircraft in aviation history. Boeing paid $2.5 billion in a deferred prosecution agreement in 2021, with the company admitting that employees had conspired to defraud the FAA. Congressional hearings produced internal emails showing engineers describing the aircraft as “designed by clowns, supervised by monkeys.”</w:t>
      </w:r>
    </w:p>
    <w:p>
      <w:pPr>
        <w:spacing w:after="200" w:before="0" w:line="276"/>
        <w:jc w:val="left"/>
      </w:pPr>
      <w:r>
        <w:rPr>
          <w:rFonts w:ascii="Arial" w:cs="Arial" w:eastAsia="Arial" w:hAnsi="Arial"/>
          <w:b/>
          <w:bCs/>
          <w:color w:val="333333"/>
          <w:sz w:val="22"/>
          <w:szCs w:val="22"/>
        </w:rPr>
        <w:t xml:space="preserve">The stated brief: </w:t>
      </w:r>
      <w:r>
        <w:rPr>
          <w:rFonts w:ascii="Arial" w:cs="Arial" w:eastAsia="Arial" w:hAnsi="Arial"/>
          <w:color w:val="333333"/>
          <w:sz w:val="22"/>
          <w:szCs w:val="22"/>
        </w:rPr>
        <w:t xml:space="preserve">“Help us rebuild trust with regulators, airlines, the travelling public, and our own workforce.”</w:t>
      </w:r>
    </w:p>
    <w:p>
      <w:pPr>
        <w:spacing w:after="200" w:before="0" w:line="276"/>
        <w:jc w:val="left"/>
      </w:pPr>
      <w:r>
        <w:rPr>
          <w:rFonts w:ascii="Arial" w:cs="Arial" w:eastAsia="Arial" w:hAnsi="Arial"/>
          <w:b/>
          <w:bCs/>
          <w:color w:val="333333"/>
          <w:sz w:val="22"/>
          <w:szCs w:val="22"/>
        </w:rPr>
        <w:t xml:space="preserve">The core paradox: </w:t>
      </w:r>
      <w:r>
        <w:rPr>
          <w:rFonts w:ascii="Arial" w:cs="Arial" w:eastAsia="Arial" w:hAnsi="Arial"/>
          <w:color w:val="333333"/>
          <w:sz w:val="22"/>
          <w:szCs w:val="22"/>
        </w:rPr>
        <w:t xml:space="preserve">Boeing makes aircraft that millions of people fly on daily. People need to trust Boeing with their lives, not merely their loyalty. Yet the company has been criminally charged with prioritising profit over safety. Trust is not a brand attribute here. It is a survival requirement.</w:t>
      </w:r>
    </w:p>
    <w:p>
      <w:pPr>
        <w:spacing w:after="200" w:before="0" w:line="276"/>
        <w:jc w:val="left"/>
      </w:pPr>
      <w:r>
        <w:rPr>
          <w:rFonts w:ascii="Arial" w:cs="Arial" w:eastAsia="Arial" w:hAnsi="Arial"/>
          <w:b/>
          <w:bCs/>
          <w:color w:val="333333"/>
          <w:sz w:val="22"/>
          <w:szCs w:val="22"/>
        </w:rPr>
        <w:t xml:space="preserve">The harder question: </w:t>
      </w:r>
      <w:r>
        <w:rPr>
          <w:rFonts w:ascii="Arial" w:cs="Arial" w:eastAsia="Arial" w:hAnsi="Arial"/>
          <w:color w:val="333333"/>
          <w:sz w:val="22"/>
          <w:szCs w:val="22"/>
        </w:rPr>
        <w:t xml:space="preserve">Can Boeing credibly claim to have changed when the same 737 Max is still flying, when leadership turnover has been constant, and when a door plug blew off a 737 Max 9 in January 2024? Or does every communications effort simply remind people of what went wrong?</w:t>
      </w:r>
    </w:p>
    <w:p>
      <w:pPr>
        <w:spacing w:after="100" w:before="0" w:line="276"/>
        <w:jc w:val="left"/>
      </w:pPr>
      <w:r>
        <w:rPr>
          <w:rFonts w:ascii="Arial" w:cs="Arial" w:eastAsia="Arial" w:hAnsi="Arial"/>
          <w:b/>
          <w:bCs/>
          <w:color w:val="333333"/>
          <w:sz w:val="22"/>
          <w:szCs w:val="22"/>
        </w:rPr>
        <w:t xml:space="preserve">Another “safety is our priority” campaign would be more damaging than saying nothing.</w:t>
      </w:r>
    </w:p>
    <w:p>
      <w:pPr>
        <w:pStyle w:val="Heading1"/>
        <w:pageBreakBefore/>
        <w:spacing w:before="0" w:after="240"/>
      </w:pPr>
      <w:r>
        <w:rPr>
          <w:rFonts w:ascii="Arial" w:cs="Arial" w:eastAsia="Arial" w:hAnsi="Arial"/>
          <w:b/>
          <w:bCs/>
          <w:color w:val="5BA8D6"/>
          <w:sz w:val="32"/>
          <w:szCs w:val="32"/>
        </w:rPr>
        <w:t xml:space="preserve">Background: How We Got Here</w:t>
      </w:r>
    </w:p>
    <w:p>
      <w:pPr>
        <w:pStyle w:val="Heading2"/>
        <w:spacing w:before="300" w:after="180"/>
      </w:pPr>
      <w:r>
        <w:rPr>
          <w:rFonts w:ascii="Arial" w:cs="Arial" w:eastAsia="Arial" w:hAnsi="Arial"/>
          <w:b/>
          <w:bCs/>
          <w:color w:val="333333"/>
          <w:sz w:val="26"/>
          <w:szCs w:val="26"/>
        </w:rPr>
        <w:t xml:space="preserve">The 737 Max Development</w:t>
      </w:r>
    </w:p>
    <w:p>
      <w:pPr>
        <w:spacing w:after="200" w:before="0" w:line="276"/>
        <w:jc w:val="left"/>
      </w:pPr>
      <w:r>
        <w:rPr>
          <w:rFonts w:ascii="Arial" w:cs="Arial" w:eastAsia="Arial" w:hAnsi="Arial"/>
          <w:b w:val="false"/>
          <w:bCs w:val="false"/>
          <w:i w:val="false"/>
          <w:iCs w:val="false"/>
          <w:color w:val="333333"/>
          <w:sz w:val="22"/>
          <w:szCs w:val="22"/>
        </w:rPr>
        <w:t xml:space="preserve">The 737 Max was Boeing’s response to Airbus’s A320neo, which had been winning orders from airlines seeking more fuel-efficient narrow-body aircraft. Rather than design a new aircraft from scratch – a process that would take a decade and cost tens of billions – Boeing chose to re-engine the existing 737 airframe, a design dating back to 1967.</w:t>
      </w:r>
    </w:p>
    <w:p>
      <w:pPr>
        <w:spacing w:after="200" w:before="0" w:line="276"/>
        <w:jc w:val="left"/>
      </w:pPr>
      <w:r>
        <w:rPr>
          <w:rFonts w:ascii="Arial" w:cs="Arial" w:eastAsia="Arial" w:hAnsi="Arial"/>
          <w:b w:val="false"/>
          <w:bCs w:val="false"/>
          <w:i w:val="false"/>
          <w:iCs w:val="false"/>
          <w:color w:val="333333"/>
          <w:sz w:val="22"/>
          <w:szCs w:val="22"/>
        </w:rPr>
        <w:t xml:space="preserve">Fitting larger, more fuel-efficient engines onto the 737’s low-slung landing gear required mounting them further forward and higher on the wing. This changed the aircraft’s aerodynamic characteristics, creating a tendency to pitch up under certain conditions. Boeing’s solution was a software system called MCAS (Manoeuvring Characteristics Augmentation System), which would automatically push the nose down if sensors detected excessive pitch.</w:t>
      </w:r>
    </w:p>
    <w:p>
      <w:pPr>
        <w:spacing w:after="200" w:before="0" w:line="276"/>
        <w:jc w:val="left"/>
      </w:pPr>
      <w:r>
        <w:rPr>
          <w:rFonts w:ascii="Arial" w:cs="Arial" w:eastAsia="Arial" w:hAnsi="Arial"/>
          <w:b w:val="false"/>
          <w:bCs w:val="false"/>
          <w:i w:val="false"/>
          <w:iCs w:val="false"/>
          <w:color w:val="333333"/>
          <w:sz w:val="22"/>
          <w:szCs w:val="22"/>
        </w:rPr>
        <w:t xml:space="preserve">Critically, MCAS relied on a single angle-of-attack sensor. If that sensor failed – as it did on both crash flights – the system would repeatedly force the nose down, overriding pilot inputs. Boeing did not disclose the existence or behaviour of MCAS to airlines or pilots. The system was not mentioned in pilot training manuals. The company told the FAA that MCAS was a minor modification that did not require additional pilot training.</w:t>
      </w:r>
    </w:p>
    <w:p>
      <w:pPr>
        <w:pStyle w:val="Heading2"/>
        <w:spacing w:before="300" w:after="180"/>
      </w:pPr>
      <w:r>
        <w:rPr>
          <w:rFonts w:ascii="Arial" w:cs="Arial" w:eastAsia="Arial" w:hAnsi="Arial"/>
          <w:b/>
          <w:bCs/>
          <w:color w:val="333333"/>
          <w:sz w:val="26"/>
          <w:szCs w:val="26"/>
        </w:rPr>
        <w:t xml:space="preserve">The Crashes</w:t>
      </w:r>
    </w:p>
    <w:p>
      <w:pPr>
        <w:spacing w:after="200" w:before="0" w:line="276"/>
        <w:jc w:val="left"/>
      </w:pPr>
      <w:r>
        <w:rPr>
          <w:rFonts w:ascii="Arial" w:cs="Arial" w:eastAsia="Arial" w:hAnsi="Arial"/>
          <w:b/>
          <w:bCs/>
          <w:color w:val="333333"/>
          <w:sz w:val="22"/>
          <w:szCs w:val="22"/>
        </w:rPr>
        <w:t xml:space="preserve">Lion Air Flight 610 (29 October 2018): </w:t>
      </w:r>
      <w:r>
        <w:rPr>
          <w:rFonts w:ascii="Arial" w:cs="Arial" w:eastAsia="Arial" w:hAnsi="Arial"/>
          <w:color w:val="333333"/>
          <w:sz w:val="22"/>
          <w:szCs w:val="22"/>
        </w:rPr>
        <w:t xml:space="preserve">A brand-new 737 Max 8 crashed into the Java Sea 13 minutes after takeoff from Jakarta, killing all 189 people on board. Initial Boeing statements emphasised pilot error and suggested airlines review existing procedures. The company did not ground the fleet or issue an emergency directive about MCAS.</w:t>
      </w:r>
    </w:p>
    <w:p>
      <w:pPr>
        <w:spacing w:after="200" w:before="0" w:line="276"/>
        <w:jc w:val="left"/>
      </w:pPr>
      <w:r>
        <w:rPr>
          <w:rFonts w:ascii="Arial" w:cs="Arial" w:eastAsia="Arial" w:hAnsi="Arial"/>
          <w:b/>
          <w:bCs/>
          <w:color w:val="333333"/>
          <w:sz w:val="22"/>
          <w:szCs w:val="22"/>
        </w:rPr>
        <w:t xml:space="preserve">Ethiopian Airlines Flight 302 (10 March 2019): </w:t>
      </w:r>
      <w:r>
        <w:rPr>
          <w:rFonts w:ascii="Arial" w:cs="Arial" w:eastAsia="Arial" w:hAnsi="Arial"/>
          <w:color w:val="333333"/>
          <w:sz w:val="22"/>
          <w:szCs w:val="22"/>
        </w:rPr>
        <w:t xml:space="preserve">A 737 Max 8 crashed six minutes after takeoff from Addis Ababa, killing all 157 people on board. The flight profile was almost identical to Lion Air 610. Within days, aviation authorities worldwide grounded every 737 Max. The FAA was the last major regulator to act, three days after the crash, under political and public pressure.</w:t>
      </w:r>
    </w:p>
    <w:p>
      <w:pPr>
        <w:pStyle w:val="Heading2"/>
        <w:spacing w:before="300" w:after="180"/>
      </w:pPr>
      <w:r>
        <w:rPr>
          <w:rFonts w:ascii="Arial" w:cs="Arial" w:eastAsia="Arial" w:hAnsi="Arial"/>
          <w:b/>
          <w:bCs/>
          <w:color w:val="333333"/>
          <w:sz w:val="26"/>
          <w:szCs w:val="26"/>
        </w:rPr>
        <w:t xml:space="preserve">Investigations and Fallout</w:t>
      </w:r>
    </w:p>
    <w:p>
      <w:pPr>
        <w:spacing w:after="200" w:before="0" w:line="276"/>
        <w:jc w:val="left"/>
      </w:pPr>
      <w:r>
        <w:rPr>
          <w:rFonts w:ascii="Arial" w:cs="Arial" w:eastAsia="Arial" w:hAnsi="Arial"/>
          <w:b w:val="false"/>
          <w:bCs w:val="false"/>
          <w:i w:val="false"/>
          <w:iCs w:val="false"/>
          <w:color w:val="333333"/>
          <w:sz w:val="22"/>
          <w:szCs w:val="22"/>
        </w:rPr>
        <w:t xml:space="preserve">Congressional hearings in 2019 and 2020 revealed the scale of internal dysfunction. Internal communications showed Boeing employees describing the 737 Max as “designed by clowns” and expressing concern that colleagues were “lying to regulators.” One test pilot wrote that MCAS was “running rampant” in a simulator and that he had “basically lied to the regulators (unknowingly).”</w:t>
      </w:r>
    </w:p>
    <w:p>
      <w:pPr>
        <w:spacing w:after="200" w:before="0" w:line="276"/>
        <w:jc w:val="left"/>
      </w:pPr>
      <w:r>
        <w:rPr>
          <w:rFonts w:ascii="Arial" w:cs="Arial" w:eastAsia="Arial" w:hAnsi="Arial"/>
          <w:b w:val="false"/>
          <w:bCs w:val="false"/>
          <w:i w:val="false"/>
          <w:iCs w:val="false"/>
          <w:color w:val="333333"/>
          <w:sz w:val="22"/>
          <w:szCs w:val="22"/>
        </w:rPr>
        <w:t xml:space="preserve">The House Transportation Committee concluded that the crashes were “the horrific culmination of a series of faulty technical assumptions by Boeing’s engineers, a lack of transparency on the part of Boeing’s management, and grossly insufficient oversight by the FAA.”</w:t>
      </w:r>
    </w:p>
    <w:p>
      <w:pPr>
        <w:spacing w:after="200" w:before="0" w:line="276"/>
        <w:jc w:val="left"/>
      </w:pPr>
      <w:r>
        <w:rPr>
          <w:rFonts w:ascii="Arial" w:cs="Arial" w:eastAsia="Arial" w:hAnsi="Arial"/>
          <w:b w:val="false"/>
          <w:bCs w:val="false"/>
          <w:i w:val="false"/>
          <w:iCs w:val="false"/>
          <w:color w:val="333333"/>
          <w:sz w:val="22"/>
          <w:szCs w:val="22"/>
        </w:rPr>
        <w:t xml:space="preserve">In January 2021, Boeing agreed to a deferred prosecution agreement with the Department of Justice, paying $2.5 billion and admitting that two former employees had conspired to defraud the FAA. Criminal fraud charges were filed against a former chief technical pilot.</w:t>
      </w:r>
    </w:p>
    <w:p>
      <w:pPr>
        <w:pStyle w:val="Heading2"/>
        <w:spacing w:before="300" w:after="180"/>
      </w:pPr>
      <w:r>
        <w:rPr>
          <w:rFonts w:ascii="Arial" w:cs="Arial" w:eastAsia="Arial" w:hAnsi="Arial"/>
          <w:b/>
          <w:bCs/>
          <w:color w:val="333333"/>
          <w:sz w:val="26"/>
          <w:szCs w:val="26"/>
        </w:rPr>
        <w:t xml:space="preserve">The Pattern Continues</w:t>
      </w:r>
    </w:p>
    <w:p>
      <w:pPr>
        <w:spacing w:after="200" w:before="0" w:line="276"/>
        <w:jc w:val="left"/>
      </w:pPr>
      <w:r>
        <w:rPr>
          <w:rFonts w:ascii="Arial" w:cs="Arial" w:eastAsia="Arial" w:hAnsi="Arial"/>
          <w:b/>
          <w:bCs/>
          <w:color w:val="333333"/>
          <w:sz w:val="22"/>
          <w:szCs w:val="22"/>
        </w:rPr>
        <w:t xml:space="preserve">Alaska Airlines door plug blowout (5 January 2024): </w:t>
      </w:r>
      <w:r>
        <w:rPr>
          <w:rFonts w:ascii="Arial" w:cs="Arial" w:eastAsia="Arial" w:hAnsi="Arial"/>
          <w:color w:val="333333"/>
          <w:sz w:val="22"/>
          <w:szCs w:val="22"/>
        </w:rPr>
        <w:t xml:space="preserve">A door plug on a 737 Max 9 blew out at 16,000 feet on an Alaska Airlines flight from Portland. No fatalities, but passengers were left with a gaping hole in the fuselage. The FAA immediately grounded all 737 Max 9 aircraft and imposed a production cap on Boeing, limiting output to 38 aircraft per month.</w:t>
      </w:r>
    </w:p>
    <w:p>
      <w:pPr>
        <w:spacing w:after="200" w:before="0" w:line="276"/>
        <w:jc w:val="left"/>
      </w:pPr>
      <w:r>
        <w:rPr>
          <w:rFonts w:ascii="Arial" w:cs="Arial" w:eastAsia="Arial" w:hAnsi="Arial"/>
          <w:b w:val="false"/>
          <w:bCs w:val="false"/>
          <w:i w:val="false"/>
          <w:iCs w:val="false"/>
          <w:color w:val="333333"/>
          <w:sz w:val="22"/>
          <w:szCs w:val="22"/>
        </w:rPr>
        <w:t xml:space="preserve">The door plug incident reignited every narrative Boeing had been trying to move past. It demonstrated that quality control failures were not confined to the MCAS era but were ongoing, systemic problems in Boeing’s manufacturing processes.</w:t>
      </w:r>
    </w:p>
    <w:p>
      <w:pPr>
        <w:pStyle w:val="Heading2"/>
        <w:spacing w:before="300" w:after="180"/>
      </w:pPr>
      <w:r>
        <w:rPr>
          <w:rFonts w:ascii="Arial" w:cs="Arial" w:eastAsia="Arial" w:hAnsi="Arial"/>
          <w:b/>
          <w:bCs/>
          <w:color w:val="333333"/>
          <w:sz w:val="26"/>
          <w:szCs w:val="26"/>
        </w:rPr>
        <w:t xml:space="preserve">Leadership Instability</w:t>
      </w:r>
    </w:p>
    <w:p>
      <w:pPr>
        <w:spacing w:after="200" w:before="0" w:line="276"/>
        <w:jc w:val="left"/>
      </w:pPr>
      <w:r>
        <w:rPr>
          <w:rFonts w:ascii="Arial" w:cs="Arial" w:eastAsia="Arial" w:hAnsi="Arial"/>
          <w:b w:val="false"/>
          <w:bCs w:val="false"/>
          <w:i w:val="false"/>
          <w:iCs w:val="false"/>
          <w:color w:val="333333"/>
          <w:sz w:val="22"/>
          <w:szCs w:val="22"/>
        </w:rPr>
        <w:t xml:space="preserve">Dennis Muilenburg was fired as CEO in December 2019 after repeatedly mishandling the crisis response. Dave Calhoun, his replacement, announced his resignation in March 2024 amid the door plug fallout. Kelly Ortberg, a veteran aerospace executive, was appointed CEO in August 2024, becoming the third leader in five years.</w:t>
      </w:r>
    </w:p>
    <w:p>
      <w:pPr>
        <w:pStyle w:val="Heading2"/>
        <w:spacing w:before="300" w:after="180"/>
      </w:pPr>
      <w:r>
        <w:rPr>
          <w:rFonts w:ascii="Arial" w:cs="Arial" w:eastAsia="Arial" w:hAnsi="Arial"/>
          <w:b/>
          <w:bCs/>
          <w:color w:val="333333"/>
          <w:sz w:val="26"/>
          <w:szCs w:val="26"/>
        </w:rPr>
        <w:t xml:space="preserve">Key Indicators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00"/>
        <w:gridCol w:w="1600"/>
        <w:gridCol w:w="1600"/>
        <w:gridCol w:w="1600"/>
        <w:gridCol w:w="2026"/>
      </w:tblGrid>
      <w:tr>
        <w:tc>
          <w:tcPr>
            <w:tcW w:type="dxa" w:w="22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20"/>
                <w:szCs w:val="20"/>
              </w:rPr>
              <w:t xml:space="preserve">Metric</w:t>
            </w:r>
          </w:p>
        </w:tc>
        <w:tc>
          <w:tcPr>
            <w:tcW w:type="dxa" w:w="16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20"/>
                <w:szCs w:val="20"/>
              </w:rPr>
              <w:t xml:space="preserve">Pre-Crisis (2018)</w:t>
            </w:r>
          </w:p>
        </w:tc>
        <w:tc>
          <w:tcPr>
            <w:tcW w:type="dxa" w:w="16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20"/>
                <w:szCs w:val="20"/>
              </w:rPr>
              <w:t xml:space="preserve">Post-Grounding (2020)</w:t>
            </w:r>
          </w:p>
        </w:tc>
        <w:tc>
          <w:tcPr>
            <w:tcW w:type="dxa" w:w="16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20"/>
                <w:szCs w:val="20"/>
              </w:rPr>
              <w:t xml:space="preserve">Current (2025)</w:t>
            </w:r>
          </w:p>
        </w:tc>
        <w:tc>
          <w:tcPr>
            <w:tcW w:type="dxa" w:w="2026"/>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tcPr>
          <w:p>
            <w:r>
              <w:rPr>
                <w:rFonts w:ascii="Arial" w:cs="Arial" w:eastAsia="Arial" w:hAnsi="Arial"/>
                <w:b/>
                <w:bCs/>
                <w:color w:val="FFFFFF"/>
                <w:sz w:val="20"/>
                <w:szCs w:val="20"/>
              </w:rPr>
              <w:t xml:space="preserve">Source</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Public trust in Boeing (US flyers)</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81%</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34%</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52%</w:t>
            </w:r>
          </w:p>
        </w:tc>
        <w:tc>
          <w:tcPr>
            <w:tcW w:type="dxa" w:w="2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Gallup / Harris</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737 Max avoidance (“would actively avoid”)</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N/A</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67%</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42%</w:t>
            </w:r>
          </w:p>
        </w:tc>
        <w:tc>
          <w:tcPr>
            <w:tcW w:type="dxa" w:w="2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Morning Consult</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“Safety” brand association</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78%</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31%</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48%</w:t>
            </w:r>
          </w:p>
        </w:tc>
        <w:tc>
          <w:tcPr>
            <w:tcW w:type="dxa" w:w="2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YouGov BrandIndex</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Employee safety culture score</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72/100</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58/100</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68/100</w:t>
            </w:r>
          </w:p>
        </w:tc>
        <w:tc>
          <w:tcPr>
            <w:tcW w:type="dxa" w:w="2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Internal survey</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Order backlog (737 Max)</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4,636</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3,400 (net cancellations)</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4,100+</w:t>
            </w:r>
          </w:p>
        </w:tc>
        <w:tc>
          <w:tcPr>
            <w:tcW w:type="dxa" w:w="2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Boeing IR</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Monthly deliveries vs target</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52/month</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0 (grounded)</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28/38 cap</w:t>
            </w:r>
          </w:p>
        </w:tc>
        <w:tc>
          <w:tcPr>
            <w:tcW w:type="dxa" w:w="2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FAA / Boeing</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Stock price (approx.)</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$370</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$160</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$185</w:t>
            </w:r>
          </w:p>
        </w:tc>
        <w:tc>
          <w:tcPr>
            <w:tcW w:type="dxa" w:w="2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NYSE</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Airbus stock (comparison)</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€95</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€72</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€165</w:t>
            </w:r>
          </w:p>
        </w:tc>
        <w:tc>
          <w:tcPr>
            <w:tcW w:type="dxa" w:w="2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Euronext</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FAA enforcement actions (annual)</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2</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14</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9</w:t>
            </w:r>
          </w:p>
        </w:tc>
        <w:tc>
          <w:tcPr>
            <w:tcW w:type="dxa" w:w="202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20"/>
                <w:szCs w:val="20"/>
              </w:rPr>
              <w:t xml:space="preserve">FAA</w:t>
            </w:r>
          </w:p>
        </w:tc>
      </w:tr>
    </w:tbl>
    <w:p>
      <w:pPr>
        <w:pStyle w:val="Heading1"/>
        <w:pageBreakBefore/>
        <w:spacing w:before="0" w:after="240"/>
      </w:pPr>
      <w:r>
        <w:rPr>
          <w:rFonts w:ascii="Arial" w:cs="Arial" w:eastAsia="Arial" w:hAnsi="Arial"/>
          <w:b/>
          <w:bCs/>
          <w:color w:val="5BA8D6"/>
          <w:sz w:val="32"/>
          <w:szCs w:val="32"/>
        </w:rPr>
        <w:t xml:space="preserve">The Challenge</w:t>
      </w:r>
    </w:p>
    <w:p>
      <w:pPr>
        <w:spacing w:after="200" w:before="0" w:line="276"/>
        <w:jc w:val="left"/>
      </w:pPr>
      <w:r>
        <w:rPr>
          <w:rFonts w:ascii="Arial" w:cs="Arial" w:eastAsia="Arial" w:hAnsi="Arial"/>
          <w:b/>
          <w:bCs/>
          <w:color w:val="333333"/>
          <w:sz w:val="22"/>
          <w:szCs w:val="22"/>
        </w:rPr>
        <w:t xml:space="preserve">Primary question: </w:t>
      </w:r>
      <w:r>
        <w:rPr>
          <w:rFonts w:ascii="Arial" w:cs="Arial" w:eastAsia="Arial" w:hAnsi="Arial"/>
          <w:color w:val="333333"/>
          <w:sz w:val="22"/>
          <w:szCs w:val="22"/>
        </w:rPr>
        <w:t xml:space="preserve">Can Boeing credibly communicate about safety when its recent history is defined by safety failures and deception?</w:t>
      </w:r>
    </w:p>
    <w:p>
      <w:pPr>
        <w:spacing w:after="200" w:before="0" w:line="276"/>
        <w:jc w:val="left"/>
      </w:pPr>
      <w:r>
        <w:rPr>
          <w:rFonts w:ascii="Arial" w:cs="Arial" w:eastAsia="Arial" w:hAnsi="Arial"/>
          <w:b w:val="false"/>
          <w:bCs w:val="false"/>
          <w:i w:val="false"/>
          <w:iCs w:val="false"/>
          <w:color w:val="333333"/>
          <w:sz w:val="22"/>
          <w:szCs w:val="22"/>
        </w:rPr>
        <w:t xml:space="preserve">This is a licence-to-operate question, not a reputation question. Boeing’s ability to sell aircraft, retain regulatory approval, recruit engineers, and maintain government contracts depends on stakeholders believing the company has fundamentally changed. Communications cannot create that belief if the change is not real. But without communications, even genuine change may go unrecognised.</w:t>
      </w:r>
    </w:p>
    <w:p>
      <w:pPr>
        <w:spacing w:after="200" w:before="0" w:line="276"/>
        <w:jc w:val="left"/>
      </w:pPr>
      <w:r>
        <w:rPr>
          <w:rFonts w:ascii="Arial" w:cs="Arial" w:eastAsia="Arial" w:hAnsi="Arial"/>
          <w:b w:val="false"/>
          <w:bCs w:val="false"/>
          <w:i w:val="false"/>
          <w:iCs w:val="false"/>
          <w:color w:val="333333"/>
          <w:sz w:val="22"/>
          <w:szCs w:val="22"/>
        </w:rPr>
        <w:t xml:space="preserve">We need to determine if there exists a communications approach that:</w:t>
      </w:r>
    </w:p>
    <w:p>
      <w:pPr>
        <w:pStyle w:val="ListParagraph"/>
        <w:numPr>
          <w:ilvl w:val="0"/>
          <w:numId w:val="2"/>
        </w:numPr>
        <w:spacing w:after="120" w:line="276"/>
      </w:pPr>
      <w:r>
        <w:rPr>
          <w:rFonts w:ascii="Arial" w:cs="Arial" w:eastAsia="Arial" w:hAnsi="Arial"/>
          <w:b/>
          <w:bCs/>
          <w:color w:val="333333"/>
          <w:sz w:val="22"/>
          <w:szCs w:val="22"/>
        </w:rPr>
        <w:t xml:space="preserve">Acknowledges the gravity of 346 deaths </w:t>
      </w:r>
      <w:r>
        <w:rPr>
          <w:rFonts w:ascii="Arial" w:cs="Arial" w:eastAsia="Arial" w:hAnsi="Arial"/>
          <w:color w:val="333333"/>
          <w:sz w:val="22"/>
          <w:szCs w:val="22"/>
        </w:rPr>
        <w:t xml:space="preserve">without creating additional legal exposure from ongoing litigation and the deferred prosecution agreement</w:t>
      </w:r>
    </w:p>
    <w:p>
      <w:pPr>
        <w:pStyle w:val="ListParagraph"/>
        <w:numPr>
          <w:ilvl w:val="0"/>
          <w:numId w:val="2"/>
        </w:numPr>
        <w:spacing w:after="120" w:line="276"/>
      </w:pPr>
      <w:r>
        <w:rPr>
          <w:rFonts w:ascii="Arial" w:cs="Arial" w:eastAsia="Arial" w:hAnsi="Arial"/>
          <w:b/>
          <w:bCs/>
          <w:color w:val="333333"/>
          <w:sz w:val="22"/>
          <w:szCs w:val="22"/>
        </w:rPr>
        <w:t xml:space="preserve">Demonstrates genuine cultural change </w:t>
      </w:r>
      <w:r>
        <w:rPr>
          <w:rFonts w:ascii="Arial" w:cs="Arial" w:eastAsia="Arial" w:hAnsi="Arial"/>
          <w:color w:val="333333"/>
          <w:sz w:val="22"/>
          <w:szCs w:val="22"/>
        </w:rPr>
        <w:t xml:space="preserve">in an organisation of 170,000 people spread across dozens of facilities, where the root causes were systemic, not individual</w:t>
      </w:r>
    </w:p>
    <w:p>
      <w:pPr>
        <w:pStyle w:val="ListParagraph"/>
        <w:numPr>
          <w:ilvl w:val="0"/>
          <w:numId w:val="2"/>
        </w:numPr>
        <w:spacing w:after="120" w:line="276"/>
      </w:pPr>
      <w:r>
        <w:rPr>
          <w:rFonts w:ascii="Arial" w:cs="Arial" w:eastAsia="Arial" w:hAnsi="Arial"/>
          <w:b/>
          <w:bCs/>
          <w:color w:val="333333"/>
          <w:sz w:val="22"/>
          <w:szCs w:val="22"/>
        </w:rPr>
        <w:t xml:space="preserve">Rebuilds FAA trust </w:t>
      </w:r>
      <w:r>
        <w:rPr>
          <w:rFonts w:ascii="Arial" w:cs="Arial" w:eastAsia="Arial" w:hAnsi="Arial"/>
          <w:color w:val="333333"/>
          <w:sz w:val="22"/>
          <w:szCs w:val="22"/>
        </w:rPr>
        <w:t xml:space="preserve">while the agency is under political pressure to be seen as tough on Boeing and to demonstrate it is not a captured regulator</w:t>
      </w:r>
    </w:p>
    <w:p>
      <w:pPr>
        <w:pStyle w:val="ListParagraph"/>
        <w:numPr>
          <w:ilvl w:val="0"/>
          <w:numId w:val="2"/>
        </w:numPr>
        <w:spacing w:after="120" w:line="276"/>
      </w:pPr>
      <w:r>
        <w:rPr>
          <w:rFonts w:ascii="Arial" w:cs="Arial" w:eastAsia="Arial" w:hAnsi="Arial"/>
          <w:b/>
          <w:bCs/>
          <w:color w:val="333333"/>
          <w:sz w:val="22"/>
          <w:szCs w:val="22"/>
        </w:rPr>
        <w:t xml:space="preserve">Reassures the flying public </w:t>
      </w:r>
      <w:r>
        <w:rPr>
          <w:rFonts w:ascii="Arial" w:cs="Arial" w:eastAsia="Arial" w:hAnsi="Arial"/>
          <w:color w:val="333333"/>
          <w:sz w:val="22"/>
          <w:szCs w:val="22"/>
        </w:rPr>
        <w:t xml:space="preserve">without appearing to minimise what happened or to suggest that the problem has been fully resolved</w:t>
      </w:r>
    </w:p>
    <w:p>
      <w:pPr>
        <w:pStyle w:val="ListParagraph"/>
        <w:numPr>
          <w:ilvl w:val="0"/>
          <w:numId w:val="2"/>
        </w:numPr>
        <w:spacing w:after="120" w:line="276"/>
      </w:pPr>
      <w:r>
        <w:rPr>
          <w:rFonts w:ascii="Arial" w:cs="Arial" w:eastAsia="Arial" w:hAnsi="Arial"/>
          <w:b/>
          <w:bCs/>
          <w:color w:val="333333"/>
          <w:sz w:val="22"/>
          <w:szCs w:val="22"/>
        </w:rPr>
        <w:t xml:space="preserve">Supports airline customers </w:t>
      </w:r>
      <w:r>
        <w:rPr>
          <w:rFonts w:ascii="Arial" w:cs="Arial" w:eastAsia="Arial" w:hAnsi="Arial"/>
          <w:color w:val="333333"/>
          <w:sz w:val="22"/>
          <w:szCs w:val="22"/>
        </w:rPr>
        <w:t xml:space="preserve">who need their 737 Max fleets operational, bookable, and free from passenger anxiety</w:t>
      </w:r>
    </w:p>
    <w:p>
      <w:pPr>
        <w:pStyle w:val="ListParagraph"/>
        <w:numPr>
          <w:ilvl w:val="0"/>
          <w:numId w:val="2"/>
        </w:numPr>
        <w:spacing w:after="120" w:line="276"/>
      </w:pPr>
      <w:r>
        <w:rPr>
          <w:rFonts w:ascii="Arial" w:cs="Arial" w:eastAsia="Arial" w:hAnsi="Arial"/>
          <w:b/>
          <w:bCs/>
          <w:color w:val="333333"/>
          <w:sz w:val="22"/>
          <w:szCs w:val="22"/>
        </w:rPr>
        <w:t xml:space="preserve">Retains and motivates engineers </w:t>
      </w:r>
      <w:r>
        <w:rPr>
          <w:rFonts w:ascii="Arial" w:cs="Arial" w:eastAsia="Arial" w:hAnsi="Arial"/>
          <w:color w:val="333333"/>
          <w:sz w:val="22"/>
          <w:szCs w:val="22"/>
        </w:rPr>
        <w:t xml:space="preserve">who joined Boeing to build safe aircraft and feel that the failures were management’s, not theirs</w:t>
      </w:r>
    </w:p>
    <w:p>
      <w:pPr>
        <w:spacing w:after="200" w:before="0" w:line="276"/>
        <w:jc w:val="left"/>
      </w:pPr>
      <w:r>
        <w:rPr>
          <w:rFonts w:ascii="Arial" w:cs="Arial" w:eastAsia="Arial" w:hAnsi="Arial"/>
          <w:b/>
          <w:bCs/>
          <w:color w:val="333333"/>
          <w:sz w:val="22"/>
          <w:szCs w:val="22"/>
        </w:rPr>
        <w:t xml:space="preserve">If no credible approach exists, the recommendation should be: </w:t>
      </w:r>
      <w:r>
        <w:rPr>
          <w:rFonts w:ascii="Arial" w:cs="Arial" w:eastAsia="Arial" w:hAnsi="Arial"/>
          <w:color w:val="333333"/>
          <w:sz w:val="22"/>
          <w:szCs w:val="22"/>
        </w:rPr>
        <w:t xml:space="preserve">limit communications to regulatory compliance and let a decade of safe operations rebuild trust organically.</w:t>
      </w:r>
    </w:p>
    <w:p>
      <w:pPr>
        <w:pStyle w:val="Heading1"/>
        <w:pageBreakBefore/>
        <w:spacing w:before="0" w:after="240"/>
      </w:pPr>
      <w:r>
        <w:rPr>
          <w:rFonts w:ascii="Arial" w:cs="Arial" w:eastAsia="Arial" w:hAnsi="Arial"/>
          <w:b/>
          <w:bCs/>
          <w:color w:val="5BA8D6"/>
          <w:sz w:val="32"/>
          <w:szCs w:val="32"/>
        </w:rPr>
        <w:t xml:space="preserve">Stakeholder Map</w:t>
      </w:r>
    </w:p>
    <w:p>
      <w:pPr>
        <w:spacing w:after="200" w:before="0" w:line="276"/>
        <w:jc w:val="left"/>
      </w:pPr>
      <w:r>
        <w:rPr>
          <w:rFonts w:ascii="Arial" w:cs="Arial" w:eastAsia="Arial" w:hAnsi="Arial"/>
          <w:b w:val="false"/>
          <w:bCs w:val="false"/>
          <w:i w:val="false"/>
          <w:iCs w:val="false"/>
          <w:color w:val="333333"/>
          <w:sz w:val="22"/>
          <w:szCs w:val="22"/>
        </w:rPr>
        <w:t xml:space="preserve">Boeing’s stakeholder landscape is unusually hostile and unusually complex. Every group has legitimate grievances, conflicting priorities, and different definitions of what “rebuilding trust” means. Several groups are in direct tension with each other: what reassures investors may offend victims’ families; what satisfies regulators may frustrate airlines.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800"/>
        <w:gridCol w:w="1200"/>
        <w:gridCol w:w="2500"/>
        <w:gridCol w:w="3526"/>
      </w:tblGrid>
      <w:tr>
        <w:tc>
          <w:tcPr>
            <w:tcW w:type="dxa" w:w="18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vAlign w:val="center"/>
          </w:tcPr>
          <w:p>
            <w:r>
              <w:rPr>
                <w:rFonts w:ascii="Arial" w:cs="Arial" w:eastAsia="Arial" w:hAnsi="Arial"/>
                <w:b/>
                <w:bCs/>
                <w:color w:val="FFFFFF"/>
                <w:sz w:val="18"/>
                <w:szCs w:val="18"/>
              </w:rPr>
              <w:t xml:space="preserve">Stakeholder</w:t>
            </w:r>
          </w:p>
        </w:tc>
        <w:tc>
          <w:tcPr>
            <w:tcW w:type="dxa" w:w="12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vAlign w:val="center"/>
          </w:tcPr>
          <w:p>
            <w:r>
              <w:rPr>
                <w:rFonts w:ascii="Arial" w:cs="Arial" w:eastAsia="Arial" w:hAnsi="Arial"/>
                <w:b/>
                <w:bCs/>
                <w:color w:val="FFFFFF"/>
                <w:sz w:val="18"/>
                <w:szCs w:val="18"/>
              </w:rPr>
              <w:t xml:space="preserve">Stance</w:t>
            </w:r>
          </w:p>
        </w:tc>
        <w:tc>
          <w:tcPr>
            <w:tcW w:type="dxa" w:w="2500"/>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vAlign w:val="center"/>
          </w:tcPr>
          <w:p>
            <w:r>
              <w:rPr>
                <w:rFonts w:ascii="Arial" w:cs="Arial" w:eastAsia="Arial" w:hAnsi="Arial"/>
                <w:b/>
                <w:bCs/>
                <w:color w:val="FFFFFF"/>
                <w:sz w:val="18"/>
                <w:szCs w:val="18"/>
              </w:rPr>
              <w:t xml:space="preserve">Priority</w:t>
            </w:r>
          </w:p>
        </w:tc>
        <w:tc>
          <w:tcPr>
            <w:tcW w:type="dxa" w:w="3526"/>
            <w:tcBorders>
              <w:top w:val="single" w:color="CCCCCC" w:sz="1"/>
              <w:left w:val="single" w:color="CCCCCC" w:sz="1"/>
              <w:bottom w:val="single" w:color="CCCCCC" w:sz="1"/>
              <w:right w:val="single" w:color="CCCCCC" w:sz="1"/>
            </w:tcBorders>
            <w:shd w:fill="5BA8D6" w:val="clear"/>
            <w:tcMar>
              <w:top w:type="dxa" w:w="80"/>
              <w:left w:type="dxa" w:w="120"/>
              <w:bottom w:type="dxa" w:w="80"/>
              <w:right w:type="dxa" w:w="120"/>
            </w:tcMar>
            <w:vAlign w:val="center"/>
          </w:tcPr>
          <w:p>
            <w:r>
              <w:rPr>
                <w:rFonts w:ascii="Arial" w:cs="Arial" w:eastAsia="Arial" w:hAnsi="Arial"/>
                <w:b/>
                <w:bCs/>
                <w:color w:val="FFFFFF"/>
                <w:sz w:val="18"/>
                <w:szCs w:val="18"/>
              </w:rPr>
              <w:t xml:space="preserve">What They Need to Hear</w:t>
            </w:r>
          </w:p>
        </w:tc>
      </w:tr>
      <w:tr>
        <w:tc>
          <w:tcPr>
            <w:tcW w:type="dxa" w:w="18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FAA / Regulators</w:t>
            </w:r>
          </w:p>
        </w:tc>
        <w:tc>
          <w:tcPr>
            <w:tcW w:type="dxa" w:w="12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Hostile</w:t>
            </w:r>
          </w:p>
        </w:tc>
        <w:tc>
          <w:tcPr>
            <w:tcW w:type="dxa" w:w="25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Evidence of systemic change, not PR. Must demonstrate they are not a captured regulator. Need measurable outcomes before easing oversight.</w:t>
            </w:r>
          </w:p>
        </w:tc>
        <w:tc>
          <w:tcPr>
            <w:tcW w:type="dxa" w:w="35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Data, not narrative. Measurable improvements in quality systems, whistleblower protections, and production discipline.</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Victims’ Families</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Adversarial</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Accountability, criminal prosecution, and acknowledgement. Hostile to any corporate narrative that moves past what happened.</w:t>
            </w:r>
          </w:p>
        </w:tc>
        <w:tc>
          <w:tcPr>
            <w:tcW w:type="dxa" w:w="35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That Boeing accepts full responsibility. That the people who died are not being forgotten in the pursuit of commercial recovery.</w:t>
            </w:r>
          </w:p>
        </w:tc>
      </w:tr>
      <w:tr>
        <w:tc>
          <w:tcPr>
            <w:tcW w:type="dxa" w:w="18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Airlines (Customers)</w:t>
            </w:r>
          </w:p>
        </w:tc>
        <w:tc>
          <w:tcPr>
            <w:tcW w:type="dxa" w:w="12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Pragmatic / Frustrated</w:t>
            </w:r>
          </w:p>
        </w:tc>
        <w:tc>
          <w:tcPr>
            <w:tcW w:type="dxa" w:w="25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Need the 737 Max flying and bookable. Need passengers to feel safe. Torn between commercial necessity and passenger perception.</w:t>
            </w:r>
          </w:p>
        </w:tc>
        <w:tc>
          <w:tcPr>
            <w:tcW w:type="dxa" w:w="35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That Boeing’s quality problems are being fixed. That every aircraft delivered meets specification. That Boeing will stop being the story.</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Travelling Public</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Passive / Anxious</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Most do not check aircraft type before booking. But when reminded, anxiety spikes. Trust is passive until activated by media coverage.</w:t>
            </w:r>
          </w:p>
        </w:tc>
        <w:tc>
          <w:tcPr>
            <w:tcW w:type="dxa" w:w="35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Reassurance through absence of incidents, not through corporate messaging. The less they hear about Boeing, the safer they feel.</w:t>
            </w:r>
          </w:p>
        </w:tc>
      </w:tr>
      <w:tr>
        <w:tc>
          <w:tcPr>
            <w:tcW w:type="dxa" w:w="18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Employees (170,000)</w:t>
            </w:r>
          </w:p>
        </w:tc>
        <w:tc>
          <w:tcPr>
            <w:tcW w:type="dxa" w:w="12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Demoralised</w:t>
            </w:r>
          </w:p>
        </w:tc>
        <w:tc>
          <w:tcPr>
            <w:tcW w:type="dxa" w:w="25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Engineers joined to build safe aircraft. Many feel the failures were management’s, not theirs. Morale damaged by association with the brand.</w:t>
            </w:r>
          </w:p>
        </w:tc>
        <w:tc>
          <w:tcPr>
            <w:tcW w:type="dxa" w:w="35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That their work matters. That leadership has genuinely changed. That safety concerns will be heard without retaliation.</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US Congress</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Bipartisan Scrutiny</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Boeing is America’s largest exporter. Too important to fail, but politically useful to punish. Both parties have incentive to be seen as tough.</w:t>
            </w:r>
          </w:p>
        </w:tc>
        <w:tc>
          <w:tcPr>
            <w:tcW w:type="dxa" w:w="35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That the private-sector model works. That Boeing is self-correcting. That further legislative intervention is not required.</w:t>
            </w:r>
          </w:p>
        </w:tc>
      </w:tr>
      <w:tr>
        <w:tc>
          <w:tcPr>
            <w:tcW w:type="dxa" w:w="18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Shareholders / Investors</w:t>
            </w:r>
          </w:p>
        </w:tc>
        <w:tc>
          <w:tcPr>
            <w:tcW w:type="dxa" w:w="12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Impatient</w:t>
            </w:r>
          </w:p>
        </w:tc>
        <w:tc>
          <w:tcPr>
            <w:tcW w:type="dxa" w:w="250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Want stability, order delivery, stock recovery, and dividend restoration. Growing impatient with extended contrition and production delays.</w:t>
            </w:r>
          </w:p>
        </w:tc>
        <w:tc>
          <w:tcPr>
            <w:tcW w:type="dxa" w:w="352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60"/>
            </w:pPr>
            <w:r>
              <w:rPr>
                <w:rFonts w:ascii="Arial" w:cs="Arial" w:eastAsia="Arial" w:hAnsi="Arial"/>
                <w:color w:val="333333"/>
                <w:sz w:val="18"/>
                <w:szCs w:val="18"/>
              </w:rPr>
              <w:t xml:space="preserve">A clear turnaround timeline. Evidence of operational stability. Confidence that regulatory risk is diminishing.</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Airbus / Competitors</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Opportunistic</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Benefiting commercially from every Boeing stumble. The competitive dynamic constrains how long Boeing can stay in apology mode.</w:t>
            </w:r>
          </w:p>
        </w:tc>
        <w:tc>
          <w:tcPr>
            <w:tcW w:type="dxa" w:w="3526"/>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60"/>
            </w:pPr>
            <w:r>
              <w:rPr>
                <w:rFonts w:ascii="Arial" w:cs="Arial" w:eastAsia="Arial" w:hAnsi="Arial"/>
                <w:color w:val="333333"/>
                <w:sz w:val="18"/>
                <w:szCs w:val="18"/>
              </w:rPr>
              <w:t xml:space="preserve">N/A – but their existence means Boeing cannot afford indefinite humility. Market share lost during this period may never return.</w:t>
            </w:r>
          </w:p>
        </w:tc>
      </w:tr>
    </w:tbl>
    <w:p>
      <w:pPr>
        <w:pStyle w:val="Heading1"/>
        <w:pageBreakBefore/>
        <w:spacing w:before="0" w:after="240"/>
      </w:pPr>
      <w:r>
        <w:rPr>
          <w:rFonts w:ascii="Arial" w:cs="Arial" w:eastAsia="Arial" w:hAnsi="Arial"/>
          <w:b/>
          <w:bCs/>
          <w:color w:val="5BA8D6"/>
          <w:sz w:val="32"/>
          <w:szCs w:val="32"/>
        </w:rPr>
        <w:t xml:space="preserve">What We Know</w:t>
      </w:r>
    </w:p>
    <w:p>
      <w:pPr>
        <w:pStyle w:val="Heading2"/>
        <w:spacing w:before="300" w:after="180"/>
      </w:pPr>
      <w:r>
        <w:rPr>
          <w:rFonts w:ascii="Arial" w:cs="Arial" w:eastAsia="Arial" w:hAnsi="Arial"/>
          <w:b/>
          <w:bCs/>
          <w:color w:val="333333"/>
          <w:sz w:val="26"/>
          <w:szCs w:val="26"/>
        </w:rPr>
        <w:t xml:space="preserve">Research Findings</w:t>
      </w:r>
    </w:p>
    <w:p>
      <w:pPr>
        <w:pStyle w:val="ListParagraph"/>
        <w:numPr>
          <w:ilvl w:val="0"/>
          <w:numId w:val="2"/>
        </w:numPr>
        <w:spacing w:after="120" w:line="276"/>
      </w:pPr>
      <w:r>
        <w:rPr>
          <w:rFonts w:ascii="Arial" w:cs="Arial" w:eastAsia="Arial" w:hAnsi="Arial"/>
          <w:b/>
          <w:bCs/>
          <w:color w:val="333333"/>
          <w:sz w:val="22"/>
          <w:szCs w:val="22"/>
        </w:rPr>
        <w:t xml:space="preserve">Public polling (Morning Consult, Q4 2025): </w:t>
      </w:r>
      <w:r>
        <w:rPr>
          <w:rFonts w:ascii="Arial" w:cs="Arial" w:eastAsia="Arial" w:hAnsi="Arial"/>
          <w:color w:val="333333"/>
          <w:sz w:val="22"/>
          <w:szCs w:val="22"/>
        </w:rPr>
        <w:t xml:space="preserve">42% of US flyers say they would actively avoid a 737 Max if they knew the aircraft type, down from 67% in 2020 but still significantly elevated. Among frequent flyers, avoidance drops to 28%, suggesting familiarity reduces anxiety.</w:t>
      </w:r>
    </w:p>
    <w:p>
      <w:pPr>
        <w:pStyle w:val="ListParagraph"/>
        <w:numPr>
          <w:ilvl w:val="0"/>
          <w:numId w:val="2"/>
        </w:numPr>
        <w:spacing w:after="120" w:line="276"/>
      </w:pPr>
      <w:r>
        <w:rPr>
          <w:rFonts w:ascii="Arial" w:cs="Arial" w:eastAsia="Arial" w:hAnsi="Arial"/>
          <w:b/>
          <w:bCs/>
          <w:color w:val="333333"/>
          <w:sz w:val="22"/>
          <w:szCs w:val="22"/>
        </w:rPr>
        <w:t xml:space="preserve">Brand tracking (YouGov BrandIndex, 12 months): </w:t>
      </w:r>
      <w:r>
        <w:rPr>
          <w:rFonts w:ascii="Arial" w:cs="Arial" w:eastAsia="Arial" w:hAnsi="Arial"/>
          <w:color w:val="333333"/>
          <w:sz w:val="22"/>
          <w:szCs w:val="22"/>
        </w:rPr>
        <w:t xml:space="preserve">“Safety” associations with Boeing dropped from 78% pre-crisis to 31% post-crashes, and have partially recovered to 48% by late 2025. Airbus’s safety association is 71%.</w:t>
      </w:r>
    </w:p>
    <w:p>
      <w:pPr>
        <w:pStyle w:val="ListParagraph"/>
        <w:numPr>
          <w:ilvl w:val="0"/>
          <w:numId w:val="2"/>
        </w:numPr>
        <w:spacing w:after="120" w:line="276"/>
      </w:pPr>
      <w:r>
        <w:rPr>
          <w:rFonts w:ascii="Arial" w:cs="Arial" w:eastAsia="Arial" w:hAnsi="Arial"/>
          <w:b/>
          <w:bCs/>
          <w:color w:val="333333"/>
          <w:sz w:val="22"/>
          <w:szCs w:val="22"/>
        </w:rPr>
        <w:t xml:space="preserve">Employee survey (Boeing internal, Oct 2025): </w:t>
      </w:r>
      <w:r>
        <w:rPr>
          <w:rFonts w:ascii="Arial" w:cs="Arial" w:eastAsia="Arial" w:hAnsi="Arial"/>
          <w:color w:val="333333"/>
          <w:sz w:val="22"/>
          <w:szCs w:val="22"/>
        </w:rPr>
        <w:t xml:space="preserve">72% of engineers say “safety culture has genuinely improved since 2019.” However, only 38% say “leadership listens to safety concerns without retaliation.” The gap between perceived cultural improvement and trust in leadership is the critical internal finding.</w:t>
      </w:r>
    </w:p>
    <w:p>
      <w:pPr>
        <w:pStyle w:val="ListParagraph"/>
        <w:numPr>
          <w:ilvl w:val="0"/>
          <w:numId w:val="2"/>
        </w:numPr>
        <w:spacing w:after="120" w:line="276"/>
      </w:pPr>
      <w:r>
        <w:rPr>
          <w:rFonts w:ascii="Arial" w:cs="Arial" w:eastAsia="Arial" w:hAnsi="Arial"/>
          <w:b/>
          <w:bCs/>
          <w:color w:val="333333"/>
          <w:sz w:val="22"/>
          <w:szCs w:val="22"/>
        </w:rPr>
        <w:t xml:space="preserve">Airline feedback (confidential customer advisory board, Sep 2025): </w:t>
      </w:r>
      <w:r>
        <w:rPr>
          <w:rFonts w:ascii="Arial" w:cs="Arial" w:eastAsia="Arial" w:hAnsi="Arial"/>
          <w:color w:val="333333"/>
          <w:sz w:val="22"/>
          <w:szCs w:val="22"/>
        </w:rPr>
        <w:t xml:space="preserve">“We need Boeing to stop being the story. Every communications effort about safety reminds passengers there was a problem. We want quiet competence, not corporate contrition.”</w:t>
      </w:r>
    </w:p>
    <w:p>
      <w:pPr>
        <w:pStyle w:val="ListParagraph"/>
        <w:numPr>
          <w:ilvl w:val="0"/>
          <w:numId w:val="2"/>
        </w:numPr>
        <w:spacing w:after="120" w:line="276"/>
      </w:pPr>
      <w:r>
        <w:rPr>
          <w:rFonts w:ascii="Arial" w:cs="Arial" w:eastAsia="Arial" w:hAnsi="Arial"/>
          <w:b/>
          <w:bCs/>
          <w:color w:val="333333"/>
          <w:sz w:val="22"/>
          <w:szCs w:val="22"/>
        </w:rPr>
        <w:t xml:space="preserve">Media analysis (Meltwater, 12 months): </w:t>
      </w:r>
      <w:r>
        <w:rPr>
          <w:rFonts w:ascii="Arial" w:cs="Arial" w:eastAsia="Arial" w:hAnsi="Arial"/>
          <w:color w:val="333333"/>
          <w:sz w:val="22"/>
          <w:szCs w:val="22"/>
        </w:rPr>
        <w:t xml:space="preserve">Boeing coverage is 62% negative, down from 91% in 2019. However, any new incident – the door plug, whistleblower allegations, production delays – immediately resets the cycle. Positive coverage focuses almost exclusively on defence and space divisions, not commercial aviation.</w:t>
      </w:r>
    </w:p>
    <w:p>
      <w:pPr>
        <w:pStyle w:val="ListParagraph"/>
        <w:numPr>
          <w:ilvl w:val="0"/>
          <w:numId w:val="2"/>
        </w:numPr>
        <w:spacing w:after="120" w:line="276"/>
      </w:pPr>
      <w:r>
        <w:rPr>
          <w:rFonts w:ascii="Arial" w:cs="Arial" w:eastAsia="Arial" w:hAnsi="Arial"/>
          <w:b/>
          <w:bCs/>
          <w:color w:val="333333"/>
          <w:sz w:val="22"/>
          <w:szCs w:val="22"/>
        </w:rPr>
        <w:t xml:space="preserve">Social listening (Brandwatch, 6 months): </w:t>
      </w:r>
      <w:r>
        <w:rPr>
          <w:rFonts w:ascii="Arial" w:cs="Arial" w:eastAsia="Arial" w:hAnsi="Arial"/>
          <w:color w:val="333333"/>
          <w:sz w:val="22"/>
          <w:szCs w:val="22"/>
        </w:rPr>
        <w:t xml:space="preserve">“737 Max” remains the most toxic product name in commercial aviation. “Boeing safety” generates 3x more negative sentiment than “Airbus safety.” Whistleblower coverage drove the largest sentiment spike in 2025.</w:t>
      </w:r>
    </w:p>
    <w:p>
      <w:pPr>
        <w:spacing w:after="200" w:before="0" w:line="276"/>
        <w:jc w:val="left"/>
      </w:pPr>
      <w:r>
        <w:rPr>
          <w:rFonts w:ascii="Arial" w:cs="Arial" w:eastAsia="Arial" w:hAnsi="Arial"/>
          <w:b/>
          <w:bCs/>
          <w:color w:val="333333"/>
          <w:sz w:val="22"/>
          <w:szCs w:val="22"/>
        </w:rPr>
        <w:t xml:space="preserve">The most striking finding: </w:t>
      </w:r>
      <w:r>
        <w:rPr>
          <w:rFonts w:ascii="Arial" w:cs="Arial" w:eastAsia="Arial" w:hAnsi="Arial"/>
          <w:color w:val="333333"/>
          <w:sz w:val="22"/>
          <w:szCs w:val="22"/>
        </w:rPr>
        <w:t xml:space="preserve">72% of Boeing engineers believe safety culture has genuinely improved, while only 48% of the public associates Boeing with safety. The gap between internal reality and external perception is the central communications challenge. But closing that gap requires proving the engineers right, not merely amplifying their belief.</w:t>
      </w:r>
    </w:p>
    <w:p>
      <w:pPr>
        <w:pStyle w:val="Heading1"/>
        <w:pageBreakBefore/>
        <w:spacing w:before="0" w:after="240"/>
      </w:pPr>
      <w:r>
        <w:rPr>
          <w:rFonts w:ascii="Arial" w:cs="Arial" w:eastAsia="Arial" w:hAnsi="Arial"/>
          <w:b/>
          <w:bCs/>
          <w:color w:val="5BA8D6"/>
          <w:sz w:val="32"/>
          <w:szCs w:val="32"/>
        </w:rPr>
        <w:t xml:space="preserve">Objectives</w:t>
      </w:r>
    </w:p>
    <w:p>
      <w:pPr>
        <w:spacing w:after="200" w:before="0" w:line="276"/>
        <w:jc w:val="left"/>
      </w:pPr>
      <w:r>
        <w:rPr>
          <w:rFonts w:ascii="Arial" w:cs="Arial" w:eastAsia="Arial" w:hAnsi="Arial"/>
          <w:b/>
          <w:bCs/>
          <w:color w:val="333333"/>
          <w:sz w:val="22"/>
          <w:szCs w:val="22"/>
        </w:rPr>
        <w:t xml:space="preserve">IF </w:t>
      </w:r>
      <w:r>
        <w:rPr>
          <w:rFonts w:ascii="Arial" w:cs="Arial" w:eastAsia="Arial" w:hAnsi="Arial"/>
          <w:color w:val="333333"/>
          <w:sz w:val="22"/>
          <w:szCs w:val="22"/>
        </w:rPr>
        <w:t xml:space="preserve">the strategic recommendation is to proceed with proactive communications:</w:t>
      </w:r>
    </w:p>
    <w:p>
      <w:pPr>
        <w:pStyle w:val="Heading2"/>
        <w:spacing w:before="300" w:after="180"/>
      </w:pPr>
      <w:r>
        <w:rPr>
          <w:rFonts w:ascii="Arial" w:cs="Arial" w:eastAsia="Arial" w:hAnsi="Arial"/>
          <w:b/>
          <w:bCs/>
          <w:color w:val="333333"/>
          <w:sz w:val="26"/>
          <w:szCs w:val="26"/>
        </w:rPr>
        <w:t xml:space="preserve">Year 1 (2026-2027)</w:t>
      </w:r>
    </w:p>
    <w:p>
      <w:pPr>
        <w:pStyle w:val="ListParagraph"/>
        <w:numPr>
          <w:ilvl w:val="0"/>
          <w:numId w:val="2"/>
        </w:numPr>
        <w:spacing w:after="120" w:line="276"/>
      </w:pPr>
      <w:r>
        <w:rPr>
          <w:rFonts w:ascii="Arial" w:cs="Arial" w:eastAsia="Arial" w:hAnsi="Arial"/>
          <w:color w:val="333333"/>
          <w:sz w:val="22"/>
          <w:szCs w:val="22"/>
        </w:rPr>
        <w:t xml:space="preserve">Shift media narrative from “failing company” to “company fixing its failures.” Reduce purely negative coverage from 62% to below 45%.</w:t>
      </w:r>
    </w:p>
    <w:p>
      <w:pPr>
        <w:pStyle w:val="ListParagraph"/>
        <w:numPr>
          <w:ilvl w:val="0"/>
          <w:numId w:val="2"/>
        </w:numPr>
        <w:spacing w:after="120" w:line="276"/>
      </w:pPr>
      <w:r>
        <w:rPr>
          <w:rFonts w:ascii="Arial" w:cs="Arial" w:eastAsia="Arial" w:hAnsi="Arial"/>
          <w:color w:val="333333"/>
          <w:sz w:val="22"/>
          <w:szCs w:val="22"/>
        </w:rPr>
        <w:t xml:space="preserve">Rebuild FAA relationship. Achieve removal of the 737 Max production cap and return to standard oversight within 18 months.</w:t>
      </w:r>
    </w:p>
    <w:p>
      <w:pPr>
        <w:pStyle w:val="ListParagraph"/>
        <w:numPr>
          <w:ilvl w:val="0"/>
          <w:numId w:val="2"/>
        </w:numPr>
        <w:spacing w:after="120" w:line="276"/>
      </w:pPr>
      <w:r>
        <w:rPr>
          <w:rFonts w:ascii="Arial" w:cs="Arial" w:eastAsia="Arial" w:hAnsi="Arial"/>
          <w:color w:val="333333"/>
          <w:sz w:val="22"/>
          <w:szCs w:val="22"/>
        </w:rPr>
        <w:t xml:space="preserve">Employee safety culture confidence score (“leadership listens without retaliation”) from 38% to above 55%.</w:t>
      </w:r>
    </w:p>
    <w:p>
      <w:pPr>
        <w:pStyle w:val="ListParagraph"/>
        <w:numPr>
          <w:ilvl w:val="0"/>
          <w:numId w:val="2"/>
        </w:numPr>
        <w:spacing w:after="120" w:line="276"/>
      </w:pPr>
      <w:r>
        <w:rPr>
          <w:rFonts w:ascii="Arial" w:cs="Arial" w:eastAsia="Arial" w:hAnsi="Arial"/>
          <w:color w:val="333333"/>
          <w:sz w:val="22"/>
          <w:szCs w:val="22"/>
        </w:rPr>
        <w:t xml:space="preserve">Establish at least one credible, externally verified proof point of manufacturing quality improvement.</w:t>
      </w:r>
    </w:p>
    <w:p>
      <w:pPr>
        <w:pStyle w:val="ListParagraph"/>
        <w:numPr>
          <w:ilvl w:val="0"/>
          <w:numId w:val="2"/>
        </w:numPr>
        <w:spacing w:after="120" w:line="276"/>
      </w:pPr>
      <w:r>
        <w:rPr>
          <w:rFonts w:ascii="Arial" w:cs="Arial" w:eastAsia="Arial" w:hAnsi="Arial"/>
          <w:color w:val="333333"/>
          <w:sz w:val="22"/>
          <w:szCs w:val="22"/>
        </w:rPr>
        <w:t xml:space="preserve">737 Max avoidance rate among US flyers below 35% (from 42%).</w:t>
      </w:r>
    </w:p>
    <w:p>
      <w:pPr>
        <w:pStyle w:val="Heading2"/>
        <w:spacing w:before="300" w:after="180"/>
      </w:pPr>
      <w:r>
        <w:rPr>
          <w:rFonts w:ascii="Arial" w:cs="Arial" w:eastAsia="Arial" w:hAnsi="Arial"/>
          <w:b/>
          <w:bCs/>
          <w:color w:val="333333"/>
          <w:sz w:val="26"/>
          <w:szCs w:val="26"/>
        </w:rPr>
        <w:t xml:space="preserve">Year 2-3 (2027-2029)</w:t>
      </w:r>
    </w:p>
    <w:p>
      <w:pPr>
        <w:pStyle w:val="ListParagraph"/>
        <w:numPr>
          <w:ilvl w:val="0"/>
          <w:numId w:val="2"/>
        </w:numPr>
        <w:spacing w:after="120" w:line="276"/>
      </w:pPr>
      <w:r>
        <w:rPr>
          <w:rFonts w:ascii="Arial" w:cs="Arial" w:eastAsia="Arial" w:hAnsi="Arial"/>
          <w:color w:val="333333"/>
          <w:sz w:val="22"/>
          <w:szCs w:val="22"/>
        </w:rPr>
        <w:t xml:space="preserve">Public safety association recovered to 60%+ (from 48%).</w:t>
      </w:r>
    </w:p>
    <w:p>
      <w:pPr>
        <w:pStyle w:val="ListParagraph"/>
        <w:numPr>
          <w:ilvl w:val="0"/>
          <w:numId w:val="2"/>
        </w:numPr>
        <w:spacing w:after="120" w:line="276"/>
      </w:pPr>
      <w:r>
        <w:rPr>
          <w:rFonts w:ascii="Arial" w:cs="Arial" w:eastAsia="Arial" w:hAnsi="Arial"/>
          <w:color w:val="333333"/>
          <w:sz w:val="22"/>
          <w:szCs w:val="22"/>
        </w:rPr>
        <w:t xml:space="preserve">737 Max avoidance rate below 20%.</w:t>
      </w:r>
    </w:p>
    <w:p>
      <w:pPr>
        <w:pStyle w:val="ListParagraph"/>
        <w:numPr>
          <w:ilvl w:val="0"/>
          <w:numId w:val="2"/>
        </w:numPr>
        <w:spacing w:after="120" w:line="276"/>
      </w:pPr>
      <w:r>
        <w:rPr>
          <w:rFonts w:ascii="Arial" w:cs="Arial" w:eastAsia="Arial" w:hAnsi="Arial"/>
          <w:color w:val="333333"/>
          <w:sz w:val="22"/>
          <w:szCs w:val="22"/>
        </w:rPr>
        <w:t xml:space="preserve">FAA relationship normalised. No active enforcement actions related to quality systems.</w:t>
      </w:r>
    </w:p>
    <w:p>
      <w:pPr>
        <w:pStyle w:val="ListParagraph"/>
        <w:numPr>
          <w:ilvl w:val="0"/>
          <w:numId w:val="2"/>
        </w:numPr>
        <w:spacing w:after="120" w:line="276"/>
      </w:pPr>
      <w:r>
        <w:rPr>
          <w:rFonts w:ascii="Arial" w:cs="Arial" w:eastAsia="Arial" w:hAnsi="Arial"/>
          <w:color w:val="333333"/>
          <w:sz w:val="22"/>
          <w:szCs w:val="22"/>
        </w:rPr>
        <w:t xml:space="preserve">Stock price recovery to pre-door-plug levels as a lagging indicator of stakeholder confidence.</w:t>
      </w:r>
    </w:p>
    <w:p>
      <w:pPr>
        <w:pStyle w:val="ListParagraph"/>
        <w:numPr>
          <w:ilvl w:val="0"/>
          <w:numId w:val="2"/>
        </w:numPr>
        <w:spacing w:after="120" w:line="276"/>
      </w:pPr>
      <w:r>
        <w:rPr>
          <w:rFonts w:ascii="Arial" w:cs="Arial" w:eastAsia="Arial" w:hAnsi="Arial"/>
          <w:color w:val="333333"/>
          <w:sz w:val="22"/>
          <w:szCs w:val="22"/>
        </w:rPr>
        <w:t xml:space="preserve">Boeing no longer the default media reference point for corporate safety failure.</w:t>
      </w:r>
    </w:p>
    <w:p>
      <w:pPr>
        <w:spacing w:after="200" w:before="0" w:line="276"/>
        <w:jc w:val="left"/>
      </w:pPr>
      <w:r>
        <w:rPr>
          <w:rFonts w:ascii="Arial" w:cs="Arial" w:eastAsia="Arial" w:hAnsi="Arial"/>
          <w:b/>
          <w:bCs/>
          <w:color w:val="333333"/>
          <w:sz w:val="22"/>
          <w:szCs w:val="22"/>
        </w:rPr>
        <w:t xml:space="preserve">Kill criteria: </w:t>
      </w:r>
      <w:r>
        <w:rPr>
          <w:rFonts w:ascii="Arial" w:cs="Arial" w:eastAsia="Arial" w:hAnsi="Arial"/>
          <w:color w:val="333333"/>
          <w:sz w:val="22"/>
          <w:szCs w:val="22"/>
        </w:rPr>
        <w:t xml:space="preserve">If any proactive communications effort generates a “safety-washing” backlash in national media or from victims’ families, pause all proactive activity for 90 days and reassess.</w:t>
      </w:r>
    </w:p>
    <w:p>
      <w:pPr>
        <w:pStyle w:val="Heading1"/>
        <w:pageBreakBefore/>
        <w:spacing w:before="0" w:after="240"/>
      </w:pPr>
      <w:r>
        <w:rPr>
          <w:rFonts w:ascii="Arial" w:cs="Arial" w:eastAsia="Arial" w:hAnsi="Arial"/>
          <w:b/>
          <w:bCs/>
          <w:color w:val="5BA8D6"/>
          <w:sz w:val="32"/>
          <w:szCs w:val="32"/>
        </w:rPr>
        <w:t xml:space="preserve">Constraints</w:t>
      </w:r>
    </w:p>
    <w:p>
      <w:pPr>
        <w:pStyle w:val="ListParagraph"/>
        <w:numPr>
          <w:ilvl w:val="0"/>
          <w:numId w:val="2"/>
        </w:numPr>
        <w:spacing w:after="120" w:line="276"/>
      </w:pPr>
      <w:r>
        <w:rPr>
          <w:rFonts w:ascii="Arial" w:cs="Arial" w:eastAsia="Arial" w:hAnsi="Arial"/>
          <w:b/>
          <w:bCs/>
          <w:color w:val="333333"/>
          <w:sz w:val="22"/>
          <w:szCs w:val="22"/>
        </w:rPr>
        <w:t xml:space="preserve">Legal: </w:t>
      </w:r>
      <w:r>
        <w:rPr>
          <w:rFonts w:ascii="Arial" w:cs="Arial" w:eastAsia="Arial" w:hAnsi="Arial"/>
          <w:color w:val="333333"/>
          <w:sz w:val="22"/>
          <w:szCs w:val="22"/>
        </w:rPr>
        <w:t xml:space="preserve">The deferred prosecution agreement restricts certain public statements. Ongoing civil litigation from victims’ families constrains any language that could be interpreted as accepting additional liability. A federal judge rejected the original DPA in 2024, calling it “inadequate.” All public-facing materials require legal review.</w:t>
      </w:r>
    </w:p>
    <w:p>
      <w:pPr>
        <w:pStyle w:val="ListParagraph"/>
        <w:numPr>
          <w:ilvl w:val="0"/>
          <w:numId w:val="2"/>
        </w:numPr>
        <w:spacing w:after="120" w:line="276"/>
      </w:pPr>
      <w:r>
        <w:rPr>
          <w:rFonts w:ascii="Arial" w:cs="Arial" w:eastAsia="Arial" w:hAnsi="Arial"/>
          <w:b/>
          <w:bCs/>
          <w:color w:val="333333"/>
          <w:sz w:val="22"/>
          <w:szCs w:val="22"/>
        </w:rPr>
        <w:t xml:space="preserve">Operational: </w:t>
      </w:r>
      <w:r>
        <w:rPr>
          <w:rFonts w:ascii="Arial" w:cs="Arial" w:eastAsia="Arial" w:hAnsi="Arial"/>
          <w:color w:val="333333"/>
          <w:sz w:val="22"/>
          <w:szCs w:val="22"/>
        </w:rPr>
        <w:t xml:space="preserve">Quality control issues remain live. The FAA production cap is still in effect. Whistleblower allegations about factory conditions continue. Any communications strategy must account for the possibility that another incident could occur during the campaign period.</w:t>
      </w:r>
    </w:p>
    <w:p>
      <w:pPr>
        <w:pStyle w:val="ListParagraph"/>
        <w:numPr>
          <w:ilvl w:val="0"/>
          <w:numId w:val="2"/>
        </w:numPr>
        <w:spacing w:after="120" w:line="276"/>
      </w:pPr>
      <w:r>
        <w:rPr>
          <w:rFonts w:ascii="Arial" w:cs="Arial" w:eastAsia="Arial" w:hAnsi="Arial"/>
          <w:b/>
          <w:bCs/>
          <w:color w:val="333333"/>
          <w:sz w:val="22"/>
          <w:szCs w:val="22"/>
        </w:rPr>
        <w:t xml:space="preserve">Political: </w:t>
      </w:r>
      <w:r>
        <w:rPr>
          <w:rFonts w:ascii="Arial" w:cs="Arial" w:eastAsia="Arial" w:hAnsi="Arial"/>
          <w:color w:val="333333"/>
          <w:sz w:val="22"/>
          <w:szCs w:val="22"/>
        </w:rPr>
        <w:t xml:space="preserve">Boeing is a geopolitically significant company. Congressional oversight is bipartisan and ongoing. The company’s defence contracts create additional scrutiny. Communications must navigate the tension between being a national champion and being a corporate accountability target.</w:t>
      </w:r>
    </w:p>
    <w:p>
      <w:pPr>
        <w:pStyle w:val="ListParagraph"/>
        <w:numPr>
          <w:ilvl w:val="0"/>
          <w:numId w:val="2"/>
        </w:numPr>
        <w:spacing w:after="120" w:line="276"/>
      </w:pPr>
      <w:r>
        <w:rPr>
          <w:rFonts w:ascii="Arial" w:cs="Arial" w:eastAsia="Arial" w:hAnsi="Arial"/>
          <w:b/>
          <w:bCs/>
          <w:color w:val="333333"/>
          <w:sz w:val="22"/>
          <w:szCs w:val="22"/>
        </w:rPr>
        <w:t xml:space="preserve">Competitive: </w:t>
      </w:r>
      <w:r>
        <w:rPr>
          <w:rFonts w:ascii="Arial" w:cs="Arial" w:eastAsia="Arial" w:hAnsi="Arial"/>
          <w:color w:val="333333"/>
          <w:sz w:val="22"/>
          <w:szCs w:val="22"/>
        </w:rPr>
        <w:t xml:space="preserve">Airbus has used Boeing’s crisis to win market share and positioning. Every month Boeing spends in apology mode is a month Airbus consolidates its advantage. The competitive dynamic creates urgency to move from contrition to confidence, but moving too fast risks backlash.</w:t>
      </w:r>
    </w:p>
    <w:p>
      <w:pPr>
        <w:pStyle w:val="ListParagraph"/>
        <w:numPr>
          <w:ilvl w:val="0"/>
          <w:numId w:val="2"/>
        </w:numPr>
        <w:spacing w:after="120" w:line="276"/>
      </w:pPr>
      <w:r>
        <w:rPr>
          <w:rFonts w:ascii="Arial" w:cs="Arial" w:eastAsia="Arial" w:hAnsi="Arial"/>
          <w:b/>
          <w:bCs/>
          <w:color w:val="333333"/>
          <w:sz w:val="22"/>
          <w:szCs w:val="22"/>
        </w:rPr>
        <w:t xml:space="preserve">Cultural: </w:t>
      </w:r>
      <w:r>
        <w:rPr>
          <w:rFonts w:ascii="Arial" w:cs="Arial" w:eastAsia="Arial" w:hAnsi="Arial"/>
          <w:color w:val="333333"/>
          <w:sz w:val="22"/>
          <w:szCs w:val="22"/>
        </w:rPr>
        <w:t xml:space="preserve">Significant internal scepticism about “another safety initiative.” Engineers report fatigue with corporate culture programmes that feel performative. Any internal communications must be grounded in operational reality, not leadership rhetoric.</w:t>
      </w:r>
    </w:p>
    <w:p>
      <w:pPr>
        <w:pStyle w:val="ListParagraph"/>
        <w:numPr>
          <w:ilvl w:val="0"/>
          <w:numId w:val="2"/>
        </w:numPr>
        <w:spacing w:after="120" w:line="276"/>
      </w:pPr>
      <w:r>
        <w:rPr>
          <w:rFonts w:ascii="Arial" w:cs="Arial" w:eastAsia="Arial" w:hAnsi="Arial"/>
          <w:b/>
          <w:bCs/>
          <w:color w:val="333333"/>
          <w:sz w:val="22"/>
          <w:szCs w:val="22"/>
        </w:rPr>
        <w:t xml:space="preserve">Reputational: </w:t>
      </w:r>
      <w:r>
        <w:rPr>
          <w:rFonts w:ascii="Arial" w:cs="Arial" w:eastAsia="Arial" w:hAnsi="Arial"/>
          <w:color w:val="333333"/>
          <w:sz w:val="22"/>
          <w:szCs w:val="22"/>
        </w:rPr>
        <w:t xml:space="preserve">The sector’s most overused convention is “Safety is our number one priority.” Boeing cannot credibly use this language. Any communications approach must find a way to demonstrate safety commitment without resorting to the phrases that every aerospace company uses and that audiences have learned to discount.</w:t>
      </w:r>
    </w:p>
    <w:p>
      <w:pPr>
        <w:pStyle w:val="Heading1"/>
        <w:pageBreakBefore/>
        <w:spacing w:before="0" w:after="240"/>
      </w:pPr>
      <w:r>
        <w:rPr>
          <w:rFonts w:ascii="Arial" w:cs="Arial" w:eastAsia="Arial" w:hAnsi="Arial"/>
          <w:b/>
          <w:bCs/>
          <w:color w:val="5BA8D6"/>
          <w:sz w:val="32"/>
          <w:szCs w:val="32"/>
        </w:rPr>
        <w:t xml:space="preserve">What Success Looks Like</w:t>
      </w:r>
    </w:p>
    <w:p>
      <w:pPr>
        <w:spacing w:after="200" w:before="0" w:line="276"/>
        <w:jc w:val="left"/>
      </w:pPr>
      <w:r>
        <w:rPr>
          <w:rFonts w:ascii="Arial" w:cs="Arial" w:eastAsia="Arial" w:hAnsi="Arial"/>
          <w:b w:val="false"/>
          <w:bCs w:val="false"/>
          <w:i w:val="false"/>
          <w:iCs w:val="false"/>
          <w:color w:val="333333"/>
          <w:sz w:val="22"/>
          <w:szCs w:val="22"/>
        </w:rPr>
        <w:t xml:space="preserve">In three years, Boeing is recognised as a company that stopped talking about safety and started proving it. The narrative has shifted from “a company that killed 346 people” to “a company that was forced to confront its worst failures and is doing the hard, unglamorous work of fixing them.”</w:t>
      </w:r>
    </w:p>
    <w:p>
      <w:pPr>
        <w:spacing w:after="200" w:before="0" w:line="276"/>
        <w:jc w:val="left"/>
      </w:pPr>
      <w:r>
        <w:rPr>
          <w:rFonts w:ascii="Arial" w:cs="Arial" w:eastAsia="Arial" w:hAnsi="Arial"/>
          <w:b w:val="false"/>
          <w:bCs w:val="false"/>
          <w:i w:val="false"/>
          <w:iCs w:val="false"/>
          <w:color w:val="333333"/>
          <w:sz w:val="22"/>
          <w:szCs w:val="22"/>
        </w:rPr>
        <w:t xml:space="preserve">Regulators trust the data Boeing provides. Airlines trust the aircraft Boeing delivers. Engineers trust that raising concerns will be rewarded, not punished. The public does not actively check whether their flight is on a 737 Max.</w:t>
      </w:r>
    </w:p>
    <w:p>
      <w:pPr>
        <w:spacing w:after="200" w:before="0" w:line="276"/>
        <w:jc w:val="left"/>
      </w:pPr>
      <w:r>
        <w:rPr>
          <w:rFonts w:ascii="Arial" w:cs="Arial" w:eastAsia="Arial" w:hAnsi="Arial"/>
          <w:b w:val="false"/>
          <w:bCs w:val="false"/>
          <w:i w:val="false"/>
          <w:iCs w:val="false"/>
          <w:color w:val="333333"/>
          <w:sz w:val="22"/>
          <w:szCs w:val="22"/>
        </w:rPr>
        <w:t xml:space="preserve">None of this requires the public to forgive Boeing or to forget what happened. It requires Boeing to earn the right to operate by demonstrating change through evidence, not assertion. The communications strategy succeeds if it creates the conditions for trust to rebuild through performance, not if it persuades anyone through messaging.</w:t>
      </w:r>
    </w:p>
    <w:p>
      <w:pPr>
        <w:spacing w:after="200" w:before="0" w:line="276"/>
        <w:jc w:val="left"/>
      </w:pPr>
      <w:r>
        <w:rPr>
          <w:rFonts w:ascii="Arial" w:cs="Arial" w:eastAsia="Arial" w:hAnsi="Arial"/>
          <w:b/>
          <w:bCs/>
          <w:color w:val="333333"/>
          <w:sz w:val="22"/>
          <w:szCs w:val="22"/>
        </w:rPr>
        <w:t xml:space="preserve">That is the test. Anything less is not worth the risk of speaking.</w:t>
      </w: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999999"/>
        <w:sz w:val="16"/>
        <w:szCs w:val="16"/>
      </w:rPr>
      <w:t xml:space="preserve">Boeing: Rebuilding Trust After 737 Max  |  Page </w:t>
    </w:r>
    <w:r>
      <w:rPr>
        <w:rFonts w:ascii="Arial" w:cs="Arial" w:eastAsia="Arial" w:hAnsi="Arial"/>
        <w:color w:val="999999"/>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Arial" w:cs="Arial" w:eastAsia="Arial" w:hAnsi="Arial"/>
        <w:color w:val="999999"/>
        <w:sz w:val="16"/>
        <w:szCs w:val="16"/>
      </w:rPr>
      <w:t xml:space="preserve">CONFIDENTIAL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0" w:after="240"/>
      <w:outlineLvl w:val="0"/>
    </w:pPr>
    <w:rPr>
      <w:rFonts w:ascii="Arial" w:cs="Arial" w:eastAsia="Arial" w:hAnsi="Arial"/>
      <w:b/>
      <w:bCs/>
      <w:color w:val="5BA8D6"/>
      <w:sz w:val="32"/>
      <w:szCs w:val="32"/>
    </w:rPr>
  </w:style>
  <w:style w:type="paragraph" w:styleId="Heading2">
    <w:name w:val="Heading 2"/>
    <w:basedOn w:val="Normal"/>
    <w:next w:val="Normal"/>
    <w:qFormat/>
    <w:pPr>
      <w:spacing w:before="300" w:after="180"/>
      <w:outlineLvl w:val="1"/>
    </w:pPr>
    <w:rPr>
      <w:rFonts w:ascii="Arial" w:cs="Arial" w:eastAsia="Arial" w:hAnsi="Arial"/>
      <w:b/>
      <w:bCs/>
      <w:color w:val="333333"/>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2026-02-19T15:18:01.266Z</dcterms:created>
  <dcterms:modified xsi:type="dcterms:W3CDTF">2026-02-19T15:18:01.267Z</dcterms:modified>
</cp:coreProperties>
</file>

<file path=docProps/custom.xml><?xml version="1.0" encoding="utf-8"?>
<Properties xmlns="http://schemas.openxmlformats.org/officeDocument/2006/custom-properties" xmlns:vt="http://schemas.openxmlformats.org/officeDocument/2006/docPropsVTypes"/>
</file>