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before="1200" w:line="276"/>
        <w:jc w:val="left"/>
      </w:pPr>
      <w:r>
        <w:rPr>
          <w:rFonts w:ascii="Arial" w:cs="Arial" w:eastAsia="Arial" w:hAnsi="Arial"/>
          <w:b/>
          <w:bCs/>
          <w:i w:val="false"/>
          <w:iCs w:val="false"/>
          <w:color w:val="999999"/>
          <w:sz w:val="18"/>
          <w:szCs w:val="18"/>
        </w:rPr>
        <w:t xml:space="preserve">CONFIDENTIAL</w:t>
      </w:r>
    </w:p>
    <w:p>
      <w:pPr>
        <w:spacing w:after="200"/>
      </w:pPr>
      <w:r>
        <w:rPr>
          <w:rFonts w:ascii="Arial" w:cs="Arial" w:eastAsia="Arial" w:hAnsi="Arial"/>
          <w:b/>
          <w:bCs/>
          <w:color w:val="333333"/>
          <w:sz w:val="44"/>
          <w:szCs w:val="44"/>
        </w:rPr>
        <w:t xml:space="preserve">Boeing 737 Max</w:t>
      </w:r>
    </w:p>
    <w:p>
      <w:pPr>
        <w:spacing w:after="100"/>
      </w:pPr>
      <w:r>
        <w:rPr>
          <w:rFonts w:ascii="Arial" w:cs="Arial" w:eastAsia="Arial" w:hAnsi="Arial"/>
          <w:b/>
          <w:bCs/>
          <w:color w:val="5BA8D6"/>
          <w:sz w:val="28"/>
          <w:szCs w:val="28"/>
        </w:rPr>
        <w:t xml:space="preserve">Media &amp; Reputation Analysis</w:t>
      </w:r>
    </w:p>
    <w:p>
      <w:pPr>
        <w:spacing w:after="400" w:before="0" w:line="276"/>
        <w:jc w:val="left"/>
      </w:pPr>
      <w:r>
        <w:rPr>
          <w:rFonts w:ascii="Arial" w:cs="Arial" w:eastAsia="Arial" w:hAnsi="Arial"/>
          <w:b w:val="false"/>
          <w:bCs w:val="false"/>
          <w:i w:val="false"/>
          <w:iCs w:val="false"/>
          <w:color w:val="333333"/>
          <w:sz w:val="22"/>
          <w:szCs w:val="22"/>
        </w:rPr>
        <w:t xml:space="preserve">January 2026</w:t>
      </w:r>
    </w:p>
    <w:p>
      <w:pPr>
        <w:spacing w:after="100" w:before="0" w:line="276"/>
        <w:jc w:val="left"/>
      </w:pPr>
      <w:r>
        <w:rPr>
          <w:rFonts w:ascii="Arial" w:cs="Arial" w:eastAsia="Arial" w:hAnsi="Arial"/>
          <w:b/>
          <w:bCs/>
          <w:color w:val="333333"/>
          <w:sz w:val="22"/>
          <w:szCs w:val="22"/>
        </w:rPr>
        <w:t xml:space="preserve">Analysis Period: </w:t>
      </w:r>
      <w:r>
        <w:rPr>
          <w:rFonts w:ascii="Arial" w:cs="Arial" w:eastAsia="Arial" w:hAnsi="Arial"/>
          <w:color w:val="333333"/>
          <w:sz w:val="22"/>
          <w:szCs w:val="22"/>
        </w:rPr>
        <w:t xml:space="preserve">January 2024 – January 2026 (24 months)</w:t>
      </w:r>
    </w:p>
    <w:p>
      <w:pPr>
        <w:spacing w:after="200" w:before="0" w:line="276"/>
        <w:jc w:val="left"/>
      </w:pPr>
      <w:r>
        <w:rPr>
          <w:rFonts w:ascii="Arial" w:cs="Arial" w:eastAsia="Arial" w:hAnsi="Arial"/>
          <w:b/>
          <w:bCs/>
          <w:color w:val="333333"/>
          <w:sz w:val="22"/>
          <w:szCs w:val="22"/>
        </w:rPr>
        <w:t xml:space="preserve">Sources: </w:t>
      </w:r>
      <w:r>
        <w:rPr>
          <w:rFonts w:ascii="Arial" w:cs="Arial" w:eastAsia="Arial" w:hAnsi="Arial"/>
          <w:color w:val="333333"/>
          <w:sz w:val="22"/>
          <w:szCs w:val="22"/>
        </w:rPr>
        <w:t xml:space="preserve">Meltwater media monitoring, Brandwatch social listening, Gallup trust data, Boeing competitor benchmarking, message testing research (n=2,400)</w:t>
      </w:r>
    </w:p>
    <w:p>
      <w:pPr>
        <w:pStyle w:val="Heading1"/>
        <w:pageBreakBefore/>
        <w:spacing w:before="0" w:after="240"/>
      </w:pPr>
      <w:r>
        <w:rPr>
          <w:rFonts w:ascii="Arial" w:cs="Arial" w:eastAsia="Arial" w:hAnsi="Arial"/>
          <w:b/>
          <w:bCs/>
          <w:color w:val="5BA8D6"/>
          <w:sz w:val="32"/>
          <w:szCs w:val="32"/>
        </w:rPr>
        <w:t xml:space="preserve">Executive Summary</w:t>
      </w:r>
    </w:p>
    <w:p>
      <w:pPr>
        <w:spacing w:after="200" w:before="0" w:line="276"/>
        <w:jc w:val="left"/>
      </w:pPr>
      <w:r>
        <w:rPr>
          <w:rFonts w:ascii="Arial" w:cs="Arial" w:eastAsia="Arial" w:hAnsi="Arial"/>
          <w:b w:val="false"/>
          <w:bCs w:val="false"/>
          <w:i w:val="false"/>
          <w:iCs w:val="false"/>
          <w:color w:val="333333"/>
          <w:sz w:val="22"/>
          <w:szCs w:val="22"/>
        </w:rPr>
        <w:t xml:space="preserve">Boeing’s media and reputation landscape is defined by a single dynamic: every narrative the company tries to advance is competing with a counter-narrative that the media finds more compelling. Boeing says “we have changed.” The media says “prove it.” Boeing provides evidence. The media finds a whistleblower or quality incident that contradicts it.</w:t>
      </w:r>
    </w:p>
    <w:p>
      <w:pPr>
        <w:spacing w:after="200" w:before="0" w:line="276"/>
        <w:jc w:val="left"/>
      </w:pPr>
      <w:r>
        <w:rPr>
          <w:rFonts w:ascii="Arial" w:cs="Arial" w:eastAsia="Arial" w:hAnsi="Arial"/>
          <w:b/>
          <w:bCs/>
          <w:color w:val="333333"/>
          <w:sz w:val="22"/>
          <w:szCs w:val="22"/>
        </w:rPr>
        <w:t xml:space="preserve">The fundamental challenge is not hostile media. It is narrative asymmetry. </w:t>
      </w:r>
      <w:r>
        <w:rPr>
          <w:rFonts w:ascii="Arial" w:cs="Arial" w:eastAsia="Arial" w:hAnsi="Arial"/>
          <w:color w:val="333333"/>
          <w:sz w:val="22"/>
          <w:szCs w:val="22"/>
        </w:rPr>
        <w:t xml:space="preserve">One quality failure generates more coverage than 100 successful deliveries. One whistleblower allegation outweighs a year of clean production data. The media incentive structure means Boeing cannot win a narrative war through volume. It can only win through time and absence of incidents.</w:t>
      </w:r>
    </w:p>
    <w:p>
      <w:pPr>
        <w:pStyle w:val="Heading1"/>
        <w:pageBreakBefore/>
        <w:spacing w:before="0" w:after="240"/>
      </w:pPr>
      <w:r>
        <w:rPr>
          <w:rFonts w:ascii="Arial" w:cs="Arial" w:eastAsia="Arial" w:hAnsi="Arial"/>
          <w:b/>
          <w:bCs/>
          <w:color w:val="5BA8D6"/>
          <w:sz w:val="32"/>
          <w:szCs w:val="32"/>
        </w:rPr>
        <w:t xml:space="preserve">Media Coverage Analysis</w:t>
      </w:r>
    </w:p>
    <w:p>
      <w:pPr>
        <w:pStyle w:val="Heading2"/>
        <w:spacing w:before="300" w:after="180"/>
      </w:pPr>
      <w:r>
        <w:rPr>
          <w:rFonts w:ascii="Arial" w:cs="Arial" w:eastAsia="Arial" w:hAnsi="Arial"/>
          <w:b/>
          <w:bCs/>
          <w:color w:val="333333"/>
          <w:sz w:val="26"/>
          <w:szCs w:val="26"/>
        </w:rPr>
        <w:t xml:space="preserve">Volume and Sentiment (24 Months)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600"/>
        <w:gridCol w:w="1100"/>
        <w:gridCol w:w="1100"/>
        <w:gridCol w:w="1100"/>
        <w:gridCol w:w="2726"/>
      </w:tblGrid>
      <w:tr>
        <w:tc>
          <w:tcPr>
            <w:tcW w:type="dxa" w:w="14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Period</w:t>
            </w:r>
          </w:p>
        </w:tc>
        <w:tc>
          <w:tcPr>
            <w:tcW w:type="dxa" w:w="16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Total Articles (US Major)</w:t>
            </w:r>
          </w:p>
        </w:tc>
        <w:tc>
          <w:tcPr>
            <w:tcW w:type="dxa" w:w="11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 Negative</w:t>
            </w:r>
          </w:p>
        </w:tc>
        <w:tc>
          <w:tcPr>
            <w:tcW w:type="dxa" w:w="11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 Neutral</w:t>
            </w:r>
          </w:p>
        </w:tc>
        <w:tc>
          <w:tcPr>
            <w:tcW w:type="dxa" w:w="11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 Positive</w:t>
            </w:r>
          </w:p>
        </w:tc>
        <w:tc>
          <w:tcPr>
            <w:tcW w:type="dxa" w:w="27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Dominant Theme</w:t>
            </w:r>
          </w:p>
        </w:tc>
      </w:tr>
      <w:tr>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Q1 2024</w:t>
            </w:r>
          </w:p>
        </w:tc>
        <w:tc>
          <w:tcPr>
            <w:tcW w:type="dxa" w:w="16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4,200</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89%</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8%</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w:t>
            </w:r>
          </w:p>
        </w:tc>
        <w:tc>
          <w:tcPr>
            <w:tcW w:type="dxa" w:w="27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Door plug blowout, FAA cap</w:t>
            </w:r>
          </w:p>
        </w:tc>
      </w:tr>
      <w:tr>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Q2 2024</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2,800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78%</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14%</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8%</w:t>
            </w:r>
          </w:p>
        </w:tc>
        <w:tc>
          <w:tcPr>
            <w:tcW w:type="dxa" w:w="27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Whistleblower allegations</w:t>
            </w:r>
          </w:p>
        </w:tc>
      </w:tr>
      <w:tr>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Q3 2024</w:t>
            </w:r>
          </w:p>
        </w:tc>
        <w:tc>
          <w:tcPr>
            <w:tcW w:type="dxa" w:w="16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1,900</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71%</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11%</w:t>
            </w:r>
          </w:p>
        </w:tc>
        <w:tc>
          <w:tcPr>
            <w:tcW w:type="dxa" w:w="27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Calhoun departure, Ortberg appointment</w:t>
            </w:r>
          </w:p>
        </w:tc>
      </w:tr>
      <w:tr>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Q4 2024</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1,400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65%</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22%</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13%</w:t>
            </w:r>
          </w:p>
        </w:tc>
        <w:tc>
          <w:tcPr>
            <w:tcW w:type="dxa" w:w="27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Ortberg early moves, production updates</w:t>
            </w:r>
          </w:p>
        </w:tc>
      </w:tr>
      <w:tr>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Q1 2025</w:t>
            </w:r>
          </w:p>
        </w:tc>
        <w:tc>
          <w:tcPr>
            <w:tcW w:type="dxa" w:w="16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1,600</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68%</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19%</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13%</w:t>
            </w:r>
          </w:p>
        </w:tc>
        <w:tc>
          <w:tcPr>
            <w:tcW w:type="dxa" w:w="27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DPA rejection by federal judge</w:t>
            </w:r>
          </w:p>
        </w:tc>
      </w:tr>
      <w:tr>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Q2 2025</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1,100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61%</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24%</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15%</w:t>
            </w:r>
          </w:p>
        </w:tc>
        <w:tc>
          <w:tcPr>
            <w:tcW w:type="dxa" w:w="27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Quality improvements, delivery data</w:t>
            </w:r>
          </w:p>
        </w:tc>
      </w:tr>
      <w:tr>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Q3 2025</w:t>
            </w:r>
          </w:p>
        </w:tc>
        <w:tc>
          <w:tcPr>
            <w:tcW w:type="dxa" w:w="16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900</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58%</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26%</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16%</w:t>
            </w:r>
          </w:p>
        </w:tc>
        <w:tc>
          <w:tcPr>
            <w:tcW w:type="dxa" w:w="27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Production milestones, defence contracts</w:t>
            </w:r>
          </w:p>
        </w:tc>
      </w:tr>
      <w:tr>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Q4 2025</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1,200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64%</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22%</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14%</w:t>
            </w:r>
          </w:p>
        </w:tc>
        <w:tc>
          <w:tcPr>
            <w:tcW w:type="dxa" w:w="27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Whistleblower follow-up, annual review</w:t>
            </w:r>
          </w:p>
        </w:tc>
      </w:tr>
    </w:tbl>
    <w:p>
      <w:pPr>
        <w:spacing w:after="200" w:before="0" w:line="276"/>
        <w:jc w:val="left"/>
      </w:pPr>
      <w:r>
        <w:rPr>
          <w:rFonts w:ascii="Arial" w:cs="Arial" w:eastAsia="Arial" w:hAnsi="Arial"/>
          <w:b/>
          <w:bCs/>
          <w:color w:val="333333"/>
          <w:sz w:val="22"/>
          <w:szCs w:val="22"/>
        </w:rPr>
        <w:t xml:space="preserve">Key pattern: </w:t>
      </w:r>
      <w:r>
        <w:rPr>
          <w:rFonts w:ascii="Arial" w:cs="Arial" w:eastAsia="Arial" w:hAnsi="Arial"/>
          <w:color w:val="333333"/>
          <w:sz w:val="22"/>
          <w:szCs w:val="22"/>
        </w:rPr>
        <w:t xml:space="preserve">Coverage volume has declined from crisis peak (4,200 articles in Q1 2024 to approximately 1,000-1,200 per quarter in late 2025). Negative sentiment has improved from 89% to the low 60s. But the trajectory is not linear: any new incident (whistleblower, quality finding, legal development) causes a sentiment spike that can erase months of gradual improvement.</w:t>
      </w:r>
    </w:p>
    <w:p>
      <w:pPr>
        <w:pStyle w:val="Heading2"/>
        <w:spacing w:before="300" w:after="180"/>
      </w:pPr>
      <w:r>
        <w:rPr>
          <w:rFonts w:ascii="Arial" w:cs="Arial" w:eastAsia="Arial" w:hAnsi="Arial"/>
          <w:b/>
          <w:bCs/>
          <w:color w:val="333333"/>
          <w:sz w:val="26"/>
          <w:szCs w:val="26"/>
        </w:rPr>
        <w:t xml:space="preserve">Narrative Themes in Coverage</w:t>
      </w:r>
    </w:p>
    <w:p>
      <w:pPr>
        <w:spacing w:after="200" w:before="0" w:line="276"/>
        <w:jc w:val="left"/>
      </w:pPr>
      <w:r>
        <w:rPr>
          <w:rFonts w:ascii="Arial" w:cs="Arial" w:eastAsia="Arial" w:hAnsi="Arial"/>
          <w:b w:val="false"/>
          <w:bCs w:val="false"/>
          <w:i w:val="false"/>
          <w:iCs w:val="false"/>
          <w:color w:val="333333"/>
          <w:sz w:val="22"/>
          <w:szCs w:val="22"/>
        </w:rPr>
        <w:t xml:space="preserve">Analysis of 15,100 articles over 24 months identified five dominant narrative frames: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400"/>
        <w:gridCol w:w="1200"/>
        <w:gridCol w:w="3000"/>
        <w:gridCol w:w="2426"/>
      </w:tblGrid>
      <w:tr>
        <w:tc>
          <w:tcPr>
            <w:tcW w:type="dxa" w:w="24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Narrative Frame</w:t>
            </w:r>
          </w:p>
        </w:tc>
        <w:tc>
          <w:tcPr>
            <w:tcW w:type="dxa" w:w="12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 of Coverage</w:t>
            </w:r>
          </w:p>
        </w:tc>
        <w:tc>
          <w:tcPr>
            <w:tcW w:type="dxa" w:w="30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Typical Headline</w:t>
            </w:r>
          </w:p>
        </w:tc>
        <w:tc>
          <w:tcPr>
            <w:tcW w:type="dxa" w:w="24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Source Tendency</w:t>
            </w:r>
          </w:p>
        </w:tc>
      </w:tr>
      <w:tr>
        <w:tc>
          <w:tcPr>
            <w:tcW w:type="dxa" w:w="2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Corporate accountability / punishment</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34%</w:t>
            </w:r>
          </w:p>
        </w:tc>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“Boeing faces renewed scrutiny over quality failures”</w:t>
            </w:r>
          </w:p>
        </w:tc>
        <w:tc>
          <w:tcPr>
            <w:tcW w:type="dxa" w:w="24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NYT, Washington Post, CNN</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Safety / risk to public</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26%</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“Should you worry about flying on a Boeing?”</w:t>
            </w:r>
          </w:p>
        </w:tc>
        <w:tc>
          <w:tcPr>
            <w:tcW w:type="dxa" w:w="24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Consumer media, TV news</w:t>
            </w:r>
          </w:p>
        </w:tc>
      </w:tr>
      <w:tr>
        <w:tc>
          <w:tcPr>
            <w:tcW w:type="dxa" w:w="2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Regulatory enforcement</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“FAA extends production cap on 737 Max”</w:t>
            </w:r>
          </w:p>
        </w:tc>
        <w:tc>
          <w:tcPr>
            <w:tcW w:type="dxa" w:w="24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Reuters, Bloomberg, WSJ</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Industry / competitive analysis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14%</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“Airbus wins record orders as Boeing struggles”</w:t>
            </w:r>
          </w:p>
        </w:tc>
        <w:tc>
          <w:tcPr>
            <w:tcW w:type="dxa" w:w="24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Financial press, trade press</w:t>
            </w:r>
          </w:p>
        </w:tc>
      </w:tr>
      <w:tr>
        <w:tc>
          <w:tcPr>
            <w:tcW w:type="dxa" w:w="2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Recovery / turnaround</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8%</w:t>
            </w:r>
          </w:p>
        </w:tc>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“New Boeing CEO signals engineering-first culture”</w:t>
            </w:r>
          </w:p>
        </w:tc>
        <w:tc>
          <w:tcPr>
            <w:tcW w:type="dxa" w:w="24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Business press, trade press</w:t>
            </w:r>
          </w:p>
        </w:tc>
      </w:tr>
    </w:tbl>
    <w:p>
      <w:pPr>
        <w:spacing w:after="200" w:before="0" w:line="276"/>
        <w:jc w:val="left"/>
      </w:pPr>
      <w:r>
        <w:rPr>
          <w:rFonts w:ascii="Arial" w:cs="Arial" w:eastAsia="Arial" w:hAnsi="Arial"/>
          <w:b/>
          <w:bCs/>
          <w:color w:val="333333"/>
          <w:sz w:val="22"/>
          <w:szCs w:val="22"/>
        </w:rPr>
        <w:t xml:space="preserve">The recovery narrative (8%) is the smallest frame. </w:t>
      </w:r>
      <w:r>
        <w:rPr>
          <w:rFonts w:ascii="Arial" w:cs="Arial" w:eastAsia="Arial" w:hAnsi="Arial"/>
          <w:color w:val="333333"/>
          <w:sz w:val="22"/>
          <w:szCs w:val="22"/>
        </w:rPr>
        <w:t xml:space="preserve">This means 92% of coverage is about failure, risk, regulation, or competitive decline. Boeing cannot generate enough positive news to shift the aggregate. The strategy must be to reduce the volume of negative triggers rather than to increase the volume of positive stories.</w:t>
      </w:r>
    </w:p>
    <w:p>
      <w:pPr>
        <w:pStyle w:val="Heading1"/>
        <w:pageBreakBefore/>
        <w:spacing w:before="0" w:after="240"/>
      </w:pPr>
      <w:r>
        <w:rPr>
          <w:rFonts w:ascii="Arial" w:cs="Arial" w:eastAsia="Arial" w:hAnsi="Arial"/>
          <w:b/>
          <w:bCs/>
          <w:color w:val="5BA8D6"/>
          <w:sz w:val="32"/>
          <w:szCs w:val="32"/>
        </w:rPr>
        <w:t xml:space="preserve">Social Media &amp; Public Discourse</w:t>
      </w:r>
    </w:p>
    <w:p>
      <w:pPr>
        <w:pStyle w:val="Heading2"/>
        <w:spacing w:before="300" w:after="180"/>
      </w:pPr>
      <w:r>
        <w:rPr>
          <w:rFonts w:ascii="Arial" w:cs="Arial" w:eastAsia="Arial" w:hAnsi="Arial"/>
          <w:b/>
          <w:bCs/>
          <w:color w:val="333333"/>
          <w:sz w:val="26"/>
          <w:szCs w:val="26"/>
        </w:rPr>
        <w:t xml:space="preserve">Brand Association Analysis (Brandwatch, 6 months)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2000"/>
        <w:gridCol w:w="2000"/>
        <w:gridCol w:w="2026"/>
      </w:tblGrid>
      <w:tr>
        <w:tc>
          <w:tcPr>
            <w:tcW w:type="dxa" w:w="30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Association</w:t>
            </w:r>
          </w:p>
        </w:tc>
        <w:tc>
          <w:tcPr>
            <w:tcW w:type="dxa" w:w="20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Boeing</w:t>
            </w:r>
          </w:p>
        </w:tc>
        <w:tc>
          <w:tcPr>
            <w:tcW w:type="dxa" w:w="20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Airbus</w:t>
            </w:r>
          </w:p>
        </w:tc>
        <w:tc>
          <w:tcPr>
            <w:tcW w:type="dxa" w:w="20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Gap</w:t>
            </w:r>
          </w:p>
        </w:tc>
      </w:tr>
      <w:tr>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Safety</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22%</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41%</w:t>
            </w:r>
          </w:p>
        </w:tc>
        <w:tc>
          <w:tcPr>
            <w:tcW w:type="dxa" w:w="20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-19pp</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Crashes / deaths</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31%</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4%</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+27pp (negative)</w:t>
            </w:r>
          </w:p>
        </w:tc>
      </w:tr>
      <w:tr>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Quality problems</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24%</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6%</w:t>
            </w:r>
          </w:p>
        </w:tc>
        <w:tc>
          <w:tcPr>
            <w:tcW w:type="dxa" w:w="20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+18pp (negative)</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Innovation</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12%</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-6pp</w:t>
            </w:r>
          </w:p>
        </w:tc>
      </w:tr>
      <w:tr>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American / patriotic</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w:t>
            </w:r>
          </w:p>
        </w:tc>
        <w:tc>
          <w:tcPr>
            <w:tcW w:type="dxa" w:w="20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+15pp</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Whistleblower / cover-up</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14%</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+13pp (negative)</w:t>
            </w:r>
          </w:p>
        </w:tc>
      </w:tr>
      <w:tr>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Defence / military</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11%</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8%</w:t>
            </w:r>
          </w:p>
        </w:tc>
        <w:tc>
          <w:tcPr>
            <w:tcW w:type="dxa" w:w="20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+3pp</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Reliable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8%</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26%</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-18pp</w:t>
            </w:r>
          </w:p>
        </w:tc>
      </w:tr>
    </w:tbl>
    <w:p>
      <w:pPr>
        <w:spacing w:after="200" w:before="0" w:line="276"/>
        <w:jc w:val="left"/>
      </w:pPr>
      <w:r>
        <w:rPr>
          <w:rFonts w:ascii="Arial" w:cs="Arial" w:eastAsia="Arial" w:hAnsi="Arial"/>
          <w:b/>
          <w:bCs/>
          <w:color w:val="333333"/>
          <w:sz w:val="22"/>
          <w:szCs w:val="22"/>
        </w:rPr>
        <w:t xml:space="preserve">The toxicity of the 737 Max name: </w:t>
      </w:r>
      <w:r>
        <w:rPr>
          <w:rFonts w:ascii="Arial" w:cs="Arial" w:eastAsia="Arial" w:hAnsi="Arial"/>
          <w:color w:val="333333"/>
          <w:sz w:val="22"/>
          <w:szCs w:val="22"/>
        </w:rPr>
        <w:t xml:space="preserve">“737 Max” generates 4.2x more negative sentiment than any other commercial aircraft designation globally. When passengers discuss the 737 Max on social media, 78% of mentions are negative. By comparison, “Boeing 787” is 62% neutral and 22% positive. The Max name carries the full weight of the crisis. Other Boeing products are significantly less affected.</w:t>
      </w:r>
    </w:p>
    <w:p>
      <w:pPr>
        <w:pStyle w:val="Heading2"/>
        <w:spacing w:before="300" w:after="180"/>
      </w:pPr>
      <w:r>
        <w:rPr>
          <w:rFonts w:ascii="Arial" w:cs="Arial" w:eastAsia="Arial" w:hAnsi="Arial"/>
          <w:b/>
          <w:bCs/>
          <w:color w:val="333333"/>
          <w:sz w:val="26"/>
          <w:szCs w:val="26"/>
        </w:rPr>
        <w:t xml:space="preserve">Sentiment Triggers</w:t>
      </w:r>
    </w:p>
    <w:p>
      <w:pPr>
        <w:spacing w:after="200" w:before="0" w:line="276"/>
        <w:jc w:val="left"/>
      </w:pPr>
      <w:r>
        <w:rPr>
          <w:rFonts w:ascii="Arial" w:cs="Arial" w:eastAsia="Arial" w:hAnsi="Arial"/>
          <w:b w:val="false"/>
          <w:bCs w:val="false"/>
          <w:i w:val="false"/>
          <w:iCs w:val="false"/>
          <w:color w:val="333333"/>
          <w:sz w:val="22"/>
          <w:szCs w:val="22"/>
        </w:rPr>
        <w:t xml:space="preserve">We tracked the top 10 sentiment spikes over 24 months to identify what triggers public anxiety:</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3000"/>
        <w:gridCol w:w="2000"/>
        <w:gridCol w:w="2626"/>
      </w:tblGrid>
      <w:tr>
        <w:tc>
          <w:tcPr>
            <w:tcW w:type="dxa" w:w="14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Date</w:t>
            </w:r>
          </w:p>
        </w:tc>
        <w:tc>
          <w:tcPr>
            <w:tcW w:type="dxa" w:w="30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Trigger Event</w:t>
            </w:r>
          </w:p>
        </w:tc>
        <w:tc>
          <w:tcPr>
            <w:tcW w:type="dxa" w:w="20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Sentiment Spike</w:t>
            </w:r>
          </w:p>
        </w:tc>
        <w:tc>
          <w:tcPr>
            <w:tcW w:type="dxa" w:w="26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Recovery Time</w:t>
            </w:r>
          </w:p>
        </w:tc>
      </w:tr>
      <w:tr>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5 Jan 2024</w:t>
            </w:r>
          </w:p>
        </w:tc>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Alaska Airlines door plug blowout</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-82pp (extreme)</w:t>
            </w:r>
          </w:p>
        </w:tc>
        <w:tc>
          <w:tcPr>
            <w:tcW w:type="dxa" w:w="26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16 weeks to baseline</w:t>
            </w:r>
          </w:p>
        </w:tc>
      </w:tr>
      <w:tr>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13 Mar 2024</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Whistleblower John Barnett found dead</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-71pp (extreme)</w:t>
            </w:r>
          </w:p>
        </w:tc>
        <w:tc>
          <w:tcPr>
            <w:tcW w:type="dxa" w:w="26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12 weeks</w:t>
            </w:r>
          </w:p>
        </w:tc>
      </w:tr>
      <w:tr>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18 Jun 2024</w:t>
            </w:r>
          </w:p>
        </w:tc>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Second whistleblower Congressional testimony</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-54pp (severe)</w:t>
            </w:r>
          </w:p>
        </w:tc>
        <w:tc>
          <w:tcPr>
            <w:tcW w:type="dxa" w:w="26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8 weeks</w:t>
            </w:r>
          </w:p>
        </w:tc>
      </w:tr>
      <w:tr>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25 Mar 2024</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Dave Calhoun announces resignation</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-38pp (moderate)</w:t>
            </w:r>
          </w:p>
        </w:tc>
        <w:tc>
          <w:tcPr>
            <w:tcW w:type="dxa" w:w="26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4 weeks</w:t>
            </w:r>
          </w:p>
        </w:tc>
      </w:tr>
      <w:tr>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7 Jul 2024</w:t>
            </w:r>
          </w:p>
        </w:tc>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DOJ criminal fraud plea deal announced</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-45pp (severe)</w:t>
            </w:r>
          </w:p>
        </w:tc>
        <w:tc>
          <w:tcPr>
            <w:tcW w:type="dxa" w:w="26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6 weeks</w:t>
            </w:r>
          </w:p>
        </w:tc>
      </w:tr>
      <w:tr>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11 Dec 2024</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Federal judge rejects DPA as inadequate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-41pp (moderate)</w:t>
            </w:r>
          </w:p>
        </w:tc>
        <w:tc>
          <w:tcPr>
            <w:tcW w:type="dxa" w:w="26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 weeks</w:t>
            </w:r>
          </w:p>
        </w:tc>
      </w:tr>
      <w:tr>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 Feb 2025</w:t>
            </w:r>
          </w:p>
        </w:tc>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Whistleblower alleges factory shortcuts</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-48pp (severe)</w:t>
            </w:r>
          </w:p>
        </w:tc>
        <w:tc>
          <w:tcPr>
            <w:tcW w:type="dxa" w:w="26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7 weeks</w:t>
            </w:r>
          </w:p>
        </w:tc>
      </w:tr>
      <w:tr>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15 May 2025</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FAA extends production cap</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-32pp (moderate)</w:t>
            </w:r>
          </w:p>
        </w:tc>
        <w:tc>
          <w:tcPr>
            <w:tcW w:type="dxa" w:w="26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 weeks</w:t>
            </w:r>
          </w:p>
        </w:tc>
      </w:tr>
      <w:tr>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22 Aug 2025</w:t>
            </w:r>
          </w:p>
        </w:tc>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Ortberg factory floor visit widely covered</w:t>
            </w:r>
          </w:p>
        </w:tc>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+18pp (positive)</w:t>
            </w:r>
          </w:p>
        </w:tc>
        <w:tc>
          <w:tcPr>
            <w:tcW w:type="dxa" w:w="26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 weeks</w:t>
            </w:r>
          </w:p>
        </w:tc>
      </w:tr>
      <w:tr>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8 Nov 2025</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Boeing delivers 737 Max milestone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+12pp (positive)</w:t>
            </w:r>
          </w:p>
        </w:tc>
        <w:tc>
          <w:tcPr>
            <w:tcW w:type="dxa" w:w="26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 week</w:t>
            </w:r>
          </w:p>
        </w:tc>
      </w:tr>
    </w:tbl>
    <w:p>
      <w:pPr>
        <w:spacing w:after="200" w:before="0" w:line="276"/>
        <w:jc w:val="left"/>
      </w:pPr>
      <w:r>
        <w:rPr>
          <w:rFonts w:ascii="Arial" w:cs="Arial" w:eastAsia="Arial" w:hAnsi="Arial"/>
          <w:b/>
          <w:bCs/>
          <w:color w:val="333333"/>
          <w:sz w:val="22"/>
          <w:szCs w:val="22"/>
        </w:rPr>
        <w:t xml:space="preserve">Pattern: </w:t>
      </w:r>
      <w:r>
        <w:rPr>
          <w:rFonts w:ascii="Arial" w:cs="Arial" w:eastAsia="Arial" w:hAnsi="Arial"/>
          <w:color w:val="333333"/>
          <w:sz w:val="22"/>
          <w:szCs w:val="22"/>
        </w:rPr>
        <w:t xml:space="preserve">Negative spikes are 3-4x larger than positive ones and take 3-8x longer to recover from. A single whistleblower allegation erases the sentiment benefit of months of clean operations. The asymmetry is structural and cannot be overcome through communications volume.</w:t>
      </w:r>
    </w:p>
    <w:p>
      <w:pPr>
        <w:pStyle w:val="Heading1"/>
        <w:pageBreakBefore/>
        <w:spacing w:before="0" w:after="240"/>
      </w:pPr>
      <w:r>
        <w:rPr>
          <w:rFonts w:ascii="Arial" w:cs="Arial" w:eastAsia="Arial" w:hAnsi="Arial"/>
          <w:b/>
          <w:bCs/>
          <w:color w:val="5BA8D6"/>
          <w:sz w:val="32"/>
          <w:szCs w:val="32"/>
        </w:rPr>
        <w:t xml:space="preserve">Message Testing</w:t>
      </w:r>
    </w:p>
    <w:p>
      <w:pPr>
        <w:pStyle w:val="Heading2"/>
        <w:spacing w:before="300" w:after="180"/>
      </w:pPr>
      <w:r>
        <w:rPr>
          <w:rFonts w:ascii="Arial" w:cs="Arial" w:eastAsia="Arial" w:hAnsi="Arial"/>
          <w:b/>
          <w:bCs/>
          <w:color w:val="333333"/>
          <w:sz w:val="26"/>
          <w:szCs w:val="26"/>
        </w:rPr>
        <w:t xml:space="preserve">Methodology</w:t>
      </w:r>
    </w:p>
    <w:p>
      <w:pPr>
        <w:spacing w:after="200" w:before="0" w:line="276"/>
        <w:jc w:val="left"/>
      </w:pPr>
      <w:r>
        <w:rPr>
          <w:rFonts w:ascii="Arial" w:cs="Arial" w:eastAsia="Arial" w:hAnsi="Arial"/>
          <w:b w:val="false"/>
          <w:bCs w:val="false"/>
          <w:i w:val="false"/>
          <w:iCs w:val="false"/>
          <w:color w:val="333333"/>
          <w:sz w:val="22"/>
          <w:szCs w:val="22"/>
        </w:rPr>
        <w:t xml:space="preserve">Six candidate message frameworks were tested with a nationally representative sample (n=2,400) in October 2025. Respondents were shown each message and asked to rate it on three dimensions: believability, relevance, and distinctiveness.</w:t>
      </w:r>
    </w:p>
    <w:p>
      <w:pPr>
        <w:pStyle w:val="Heading2"/>
        <w:spacing w:before="300" w:after="180"/>
      </w:pPr>
      <w:r>
        <w:rPr>
          <w:rFonts w:ascii="Arial" w:cs="Arial" w:eastAsia="Arial" w:hAnsi="Arial"/>
          <w:b/>
          <w:bCs/>
          <w:color w:val="333333"/>
          <w:sz w:val="26"/>
          <w:szCs w:val="26"/>
        </w:rPr>
        <w:t xml:space="preserve">Results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200"/>
        <w:gridCol w:w="1200"/>
        <w:gridCol w:w="1200"/>
        <w:gridCol w:w="1400"/>
        <w:gridCol w:w="2026"/>
      </w:tblGrid>
      <w:tr>
        <w:tc>
          <w:tcPr>
            <w:tcW w:type="dxa" w:w="32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Message Framework</w:t>
            </w:r>
          </w:p>
        </w:tc>
        <w:tc>
          <w:tcPr>
            <w:tcW w:type="dxa" w:w="12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Believability</w:t>
            </w:r>
          </w:p>
        </w:tc>
        <w:tc>
          <w:tcPr>
            <w:tcW w:type="dxa" w:w="12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Relevance</w:t>
            </w:r>
          </w:p>
        </w:tc>
        <w:tc>
          <w:tcPr>
            <w:tcW w:type="dxa" w:w="14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Distinctiveness</w:t>
            </w:r>
          </w:p>
        </w:tc>
        <w:tc>
          <w:tcPr>
            <w:tcW w:type="dxa" w:w="20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Overall Score</w:t>
            </w:r>
          </w:p>
        </w:tc>
      </w:tr>
      <w:tr>
        <w:tc>
          <w:tcPr>
            <w:tcW w:type="dxa" w:w="3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“Safety is our number one priority”</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2.1 / 10</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4.8 / 10</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1.4 / 10</w:t>
            </w:r>
          </w:p>
        </w:tc>
        <w:tc>
          <w:tcPr>
            <w:tcW w:type="dxa" w:w="20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2.8 / 10</w:t>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“We’ve learned from our mistakes”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3.4 / 10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5.2 / 10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2.1 / 10</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3.6 / 10</w:t>
            </w:r>
          </w:p>
        </w:tc>
      </w:tr>
      <w:tr>
        <w:tc>
          <w:tcPr>
            <w:tcW w:type="dxa" w:w="3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“Our engineers are the best in aviation”</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4.8 / 10</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3.9 / 10</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3.2 / 10</w:t>
            </w:r>
          </w:p>
        </w:tc>
        <w:tc>
          <w:tcPr>
            <w:tcW w:type="dxa" w:w="20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4.0 / 10</w:t>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“Judge us by what we do, not what we say”</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5.6 / 10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6.1 / 10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5.8 / 10</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5.8 / 10</w:t>
            </w:r>
          </w:p>
        </w:tc>
      </w:tr>
      <w:tr>
        <w:tc>
          <w:tcPr>
            <w:tcW w:type="dxa" w:w="3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“We’re opening our doors to independent oversight”</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5.9 / 10</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5.4 / 10</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6.2 / 10</w:t>
            </w:r>
          </w:p>
        </w:tc>
        <w:tc>
          <w:tcPr>
            <w:tcW w:type="dxa" w:w="20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5.8 / 10</w:t>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“Every aircraft we build is tracked, tested, and independently verified”</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6.3 / 10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6.7 / 10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5.9 / 10</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6.3 / 10</w:t>
            </w:r>
          </w:p>
        </w:tc>
      </w:tr>
    </w:tbl>
    <w:p>
      <w:pPr>
        <w:pStyle w:val="Heading2"/>
        <w:spacing w:before="300" w:after="180"/>
      </w:pPr>
      <w:r>
        <w:rPr>
          <w:rFonts w:ascii="Arial" w:cs="Arial" w:eastAsia="Arial" w:hAnsi="Arial"/>
          <w:b/>
          <w:bCs/>
          <w:color w:val="333333"/>
          <w:sz w:val="26"/>
          <w:szCs w:val="26"/>
        </w:rPr>
        <w:t xml:space="preserve">Key Findings from Message Testing</w:t>
      </w:r>
    </w:p>
    <w:p>
      <w:pPr>
        <w:pStyle w:val="ListParagraph"/>
        <w:numPr>
          <w:ilvl w:val="0"/>
          <w:numId w:val="2"/>
        </w:numPr>
        <w:spacing w:after="120" w:line="276"/>
      </w:pPr>
      <w:r>
        <w:rPr>
          <w:rFonts w:ascii="Arial" w:cs="Arial" w:eastAsia="Arial" w:hAnsi="Arial"/>
          <w:b/>
          <w:bCs/>
          <w:color w:val="333333"/>
          <w:sz w:val="22"/>
          <w:szCs w:val="22"/>
        </w:rPr>
        <w:t xml:space="preserve">Sector convention language scores lowest: </w:t>
      </w:r>
      <w:r>
        <w:rPr>
          <w:rFonts w:ascii="Arial" w:cs="Arial" w:eastAsia="Arial" w:hAnsi="Arial"/>
          <w:color w:val="333333"/>
          <w:sz w:val="22"/>
          <w:szCs w:val="22"/>
        </w:rPr>
        <w:t xml:space="preserve">“Safety is our number one priority” scored 2.1/10 on believability. This is the single most common phrase in aerospace communications and the single least believed. Respondents described it as “empty,” “every company says this,” and “if they have to say it, it probably isn’t true.”</w:t>
      </w:r>
    </w:p>
    <w:p>
      <w:pPr>
        <w:pStyle w:val="ListParagraph"/>
        <w:numPr>
          <w:ilvl w:val="0"/>
          <w:numId w:val="2"/>
        </w:numPr>
        <w:spacing w:after="120" w:line="276"/>
      </w:pPr>
      <w:r>
        <w:rPr>
          <w:rFonts w:ascii="Arial" w:cs="Arial" w:eastAsia="Arial" w:hAnsi="Arial"/>
          <w:b/>
          <w:bCs/>
          <w:color w:val="333333"/>
          <w:sz w:val="22"/>
          <w:szCs w:val="22"/>
        </w:rPr>
        <w:t xml:space="preserve">Admission messaging improves on convention but is still weak: </w:t>
      </w:r>
      <w:r>
        <w:rPr>
          <w:rFonts w:ascii="Arial" w:cs="Arial" w:eastAsia="Arial" w:hAnsi="Arial"/>
          <w:color w:val="333333"/>
          <w:sz w:val="22"/>
          <w:szCs w:val="22"/>
        </w:rPr>
        <w:t xml:space="preserve">“We’ve learned from our mistakes” scored 3.4/10 on believability. Respondents wanted to believe it but did not. The door plug incident undermined the “learning” claim. Past tense framing (“learned”) feels premature when quality issues continue.</w:t>
      </w:r>
    </w:p>
    <w:p>
      <w:pPr>
        <w:pStyle w:val="ListParagraph"/>
        <w:numPr>
          <w:ilvl w:val="0"/>
          <w:numId w:val="2"/>
        </w:numPr>
        <w:spacing w:after="120" w:line="276"/>
      </w:pPr>
      <w:r>
        <w:rPr>
          <w:rFonts w:ascii="Arial" w:cs="Arial" w:eastAsia="Arial" w:hAnsi="Arial"/>
          <w:b/>
          <w:bCs/>
          <w:color w:val="333333"/>
          <w:sz w:val="22"/>
          <w:szCs w:val="22"/>
        </w:rPr>
        <w:t xml:space="preserve">Process and evidence messaging scores highest: </w:t>
      </w:r>
      <w:r>
        <w:rPr>
          <w:rFonts w:ascii="Arial" w:cs="Arial" w:eastAsia="Arial" w:hAnsi="Arial"/>
          <w:color w:val="333333"/>
          <w:sz w:val="22"/>
          <w:szCs w:val="22"/>
        </w:rPr>
        <w:t xml:space="preserve">“Every aircraft we build is tracked, tested, and independently verified” scored 6.3/10 overall, the strongest of any message tested. Respondents said it was “specific,” “verifiable,” and “doesn’t ask me to trust them, it asks me to trust the process.”</w:t>
      </w:r>
    </w:p>
    <w:p>
      <w:pPr>
        <w:pStyle w:val="ListParagraph"/>
        <w:numPr>
          <w:ilvl w:val="0"/>
          <w:numId w:val="2"/>
        </w:numPr>
        <w:spacing w:after="120" w:line="276"/>
      </w:pPr>
      <w:r>
        <w:rPr>
          <w:rFonts w:ascii="Arial" w:cs="Arial" w:eastAsia="Arial" w:hAnsi="Arial"/>
          <w:b/>
          <w:bCs/>
          <w:color w:val="333333"/>
          <w:sz w:val="22"/>
          <w:szCs w:val="22"/>
        </w:rPr>
        <w:t xml:space="preserve">Third-party validation multiplies impact: </w:t>
      </w:r>
      <w:r>
        <w:rPr>
          <w:rFonts w:ascii="Arial" w:cs="Arial" w:eastAsia="Arial" w:hAnsi="Arial"/>
          <w:color w:val="333333"/>
          <w:sz w:val="22"/>
          <w:szCs w:val="22"/>
        </w:rPr>
        <w:t xml:space="preserve">When the verification message was attributed to an independent body rather than Boeing, believability rose from 6.3 to 7.8/10. When attributed to the FAA specifically, it rose to 8.1/10. The messenger matters more than the message.</w:t>
      </w:r>
    </w:p>
    <w:p>
      <w:pPr>
        <w:pStyle w:val="ListParagraph"/>
        <w:numPr>
          <w:ilvl w:val="0"/>
          <w:numId w:val="2"/>
        </w:numPr>
        <w:spacing w:after="120" w:line="276"/>
      </w:pPr>
      <w:r>
        <w:rPr>
          <w:rFonts w:ascii="Arial" w:cs="Arial" w:eastAsia="Arial" w:hAnsi="Arial"/>
          <w:b/>
          <w:bCs/>
          <w:color w:val="333333"/>
          <w:sz w:val="22"/>
          <w:szCs w:val="22"/>
        </w:rPr>
        <w:t xml:space="preserve">The “actions not words” territory resonates but risks sounding like another promise: </w:t>
      </w:r>
      <w:r>
        <w:rPr>
          <w:rFonts w:ascii="Arial" w:cs="Arial" w:eastAsia="Arial" w:hAnsi="Arial"/>
          <w:color w:val="333333"/>
          <w:sz w:val="22"/>
          <w:szCs w:val="22"/>
        </w:rPr>
        <w:t xml:space="preserve">“Judge us by what we do, not what we say” scored well (5.8/10) but respondents noted the irony: “They’re still saying something. If they really meant it, they’d stop talking and just do it.”</w:t>
      </w:r>
    </w:p>
    <w:p>
      <w:pPr>
        <w:pStyle w:val="Heading1"/>
        <w:pageBreakBefore/>
        <w:spacing w:before="0" w:after="240"/>
      </w:pPr>
      <w:r>
        <w:rPr>
          <w:rFonts w:ascii="Arial" w:cs="Arial" w:eastAsia="Arial" w:hAnsi="Arial"/>
          <w:b/>
          <w:bCs/>
          <w:color w:val="5BA8D6"/>
          <w:sz w:val="32"/>
          <w:szCs w:val="32"/>
        </w:rPr>
        <w:t xml:space="preserve">Competitor Messaging Benchmarking</w:t>
      </w:r>
    </w:p>
    <w:p>
      <w:pPr>
        <w:pStyle w:val="Heading2"/>
        <w:spacing w:before="300" w:after="180"/>
      </w:pPr>
      <w:r>
        <w:rPr>
          <w:rFonts w:ascii="Arial" w:cs="Arial" w:eastAsia="Arial" w:hAnsi="Arial"/>
          <w:b/>
          <w:bCs/>
          <w:color w:val="333333"/>
          <w:sz w:val="26"/>
          <w:szCs w:val="26"/>
        </w:rPr>
        <w:t xml:space="preserve">How Aerospace Companies Talk About Safety</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0"/>
        <w:gridCol w:w="2800"/>
        <w:gridCol w:w="1600"/>
        <w:gridCol w:w="2826"/>
      </w:tblGrid>
      <w:tr>
        <w:tc>
          <w:tcPr>
            <w:tcW w:type="dxa" w:w="18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Company</w:t>
            </w:r>
          </w:p>
        </w:tc>
        <w:tc>
          <w:tcPr>
            <w:tcW w:type="dxa" w:w="28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Primary Safety Message</w:t>
            </w:r>
          </w:p>
        </w:tc>
        <w:tc>
          <w:tcPr>
            <w:tcW w:type="dxa" w:w="16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Public Believability</w:t>
            </w:r>
          </w:p>
        </w:tc>
        <w:tc>
          <w:tcPr>
            <w:tcW w:type="dxa" w:w="28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Approach</w:t>
            </w:r>
          </w:p>
        </w:tc>
      </w:tr>
      <w:tr>
        <w:tc>
          <w:tcPr>
            <w:tcW w:type="dxa" w:w="1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Boeing</w:t>
            </w:r>
          </w:p>
        </w:tc>
        <w:tc>
          <w:tcPr>
            <w:tcW w:type="dxa" w:w="2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“Safety is our enduring value”</w:t>
            </w:r>
          </w:p>
        </w:tc>
        <w:tc>
          <w:tcPr>
            <w:tcW w:type="dxa" w:w="16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2.8 / 10</w:t>
            </w:r>
          </w:p>
        </w:tc>
        <w:tc>
          <w:tcPr>
            <w:tcW w:type="dxa" w:w="28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Assertive: claims safety as core identity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Airbus</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Rarely mentions safety explicitly</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7.2 / 10 (inferred)</w:t>
            </w:r>
          </w:p>
        </w:tc>
        <w:tc>
          <w:tcPr>
            <w:tcW w:type="dxa" w:w="28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Implicit: lets safety record speak</w:t>
            </w:r>
          </w:p>
        </w:tc>
      </w:tr>
      <w:tr>
        <w:tc>
          <w:tcPr>
            <w:tcW w:type="dxa" w:w="1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Rolls-Royce (Aero)</w:t>
            </w:r>
          </w:p>
        </w:tc>
        <w:tc>
          <w:tcPr>
            <w:tcW w:type="dxa" w:w="2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“Engineering excellence”</w:t>
            </w:r>
          </w:p>
        </w:tc>
        <w:tc>
          <w:tcPr>
            <w:tcW w:type="dxa" w:w="16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6.8 / 10</w:t>
            </w:r>
          </w:p>
        </w:tc>
        <w:tc>
          <w:tcPr>
            <w:tcW w:type="dxa" w:w="28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Indirect: links safety to engineering rigour</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Lockheed Martin</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“Performance, engineered”</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5.4 / 10</w:t>
            </w:r>
          </w:p>
        </w:tc>
        <w:tc>
          <w:tcPr>
            <w:tcW w:type="dxa" w:w="28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Functional: safety embedded in capability</w:t>
            </w:r>
          </w:p>
        </w:tc>
      </w:tr>
      <w:tr>
        <w:tc>
          <w:tcPr>
            <w:tcW w:type="dxa" w:w="1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Embraer</w:t>
            </w:r>
          </w:p>
        </w:tc>
        <w:tc>
          <w:tcPr>
            <w:tcW w:type="dxa" w:w="2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“Life-centred engineering”</w:t>
            </w:r>
          </w:p>
        </w:tc>
        <w:tc>
          <w:tcPr>
            <w:tcW w:type="dxa" w:w="16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4.9 / 10</w:t>
            </w:r>
          </w:p>
        </w:tc>
        <w:tc>
          <w:tcPr>
            <w:tcW w:type="dxa" w:w="28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Human: connects engineering to human outcomes</w:t>
            </w:r>
          </w:p>
        </w:tc>
      </w:tr>
    </w:tbl>
    <w:p>
      <w:pPr>
        <w:spacing w:after="200" w:before="0" w:line="276"/>
        <w:jc w:val="left"/>
      </w:pPr>
      <w:r>
        <w:rPr>
          <w:rFonts w:ascii="Arial" w:cs="Arial" w:eastAsia="Arial" w:hAnsi="Arial"/>
          <w:b/>
          <w:bCs/>
          <w:color w:val="333333"/>
          <w:sz w:val="22"/>
          <w:szCs w:val="22"/>
        </w:rPr>
        <w:t xml:space="preserve">The Airbus paradox: </w:t>
      </w:r>
      <w:r>
        <w:rPr>
          <w:rFonts w:ascii="Arial" w:cs="Arial" w:eastAsia="Arial" w:hAnsi="Arial"/>
          <w:color w:val="333333"/>
          <w:sz w:val="22"/>
          <w:szCs w:val="22"/>
        </w:rPr>
        <w:t xml:space="preserve">Airbus scores highest on perceived safety despite almost never using the word “safety” in its public communications. Airbus lets its operational record and regulatory standing communicate safety implicitly. The lesson for Boeing: the company most trusted on safety is the one that talks about it least. Explicit safety messaging may actually signal insecurity rather than confidence.</w:t>
      </w:r>
    </w:p>
    <w:p>
      <w:pPr>
        <w:pStyle w:val="Heading1"/>
        <w:pageBreakBefore/>
        <w:spacing w:before="0" w:after="240"/>
      </w:pPr>
      <w:r>
        <w:rPr>
          <w:rFonts w:ascii="Arial" w:cs="Arial" w:eastAsia="Arial" w:hAnsi="Arial"/>
          <w:b/>
          <w:bCs/>
          <w:color w:val="5BA8D6"/>
          <w:sz w:val="32"/>
          <w:szCs w:val="32"/>
        </w:rPr>
        <w:t xml:space="preserve">Strategic Recommendations for Messaging</w:t>
      </w:r>
    </w:p>
    <w:p>
      <w:pPr>
        <w:pStyle w:val="Heading2"/>
        <w:spacing w:before="300" w:after="180"/>
      </w:pPr>
      <w:r>
        <w:rPr>
          <w:rFonts w:ascii="Arial" w:cs="Arial" w:eastAsia="Arial" w:hAnsi="Arial"/>
          <w:b/>
          <w:bCs/>
          <w:color w:val="333333"/>
          <w:sz w:val="26"/>
          <w:szCs w:val="26"/>
        </w:rPr>
        <w:t xml:space="preserve">What the Evidence Says</w:t>
      </w:r>
    </w:p>
    <w:p>
      <w:pPr>
        <w:pStyle w:val="ListParagraph"/>
        <w:numPr>
          <w:ilvl w:val="0"/>
          <w:numId w:val="2"/>
        </w:numPr>
        <w:spacing w:after="120" w:line="276"/>
      </w:pPr>
      <w:r>
        <w:rPr>
          <w:rFonts w:ascii="Arial" w:cs="Arial" w:eastAsia="Arial" w:hAnsi="Arial"/>
          <w:b/>
          <w:bCs/>
          <w:color w:val="333333"/>
          <w:sz w:val="22"/>
          <w:szCs w:val="22"/>
        </w:rPr>
        <w:t xml:space="preserve">1. Stop leading with safety language. </w:t>
      </w:r>
      <w:r>
        <w:rPr>
          <w:rFonts w:ascii="Arial" w:cs="Arial" w:eastAsia="Arial" w:hAnsi="Arial"/>
          <w:color w:val="333333"/>
          <w:sz w:val="22"/>
          <w:szCs w:val="22"/>
        </w:rPr>
        <w:t xml:space="preserve">Every conventional safety message tested poorly. The sector’s vocabulary (“safety is our priority,” “we’ve learned,” “committed to safety”) is not just ineffective, it is counterproductive. It activates the anxiety it aims to reduce.</w:t>
      </w:r>
    </w:p>
    <w:p>
      <w:pPr>
        <w:pStyle w:val="ListParagraph"/>
        <w:numPr>
          <w:ilvl w:val="0"/>
          <w:numId w:val="2"/>
        </w:numPr>
        <w:spacing w:after="120" w:line="276"/>
      </w:pPr>
      <w:r>
        <w:rPr>
          <w:rFonts w:ascii="Arial" w:cs="Arial" w:eastAsia="Arial" w:hAnsi="Arial"/>
          <w:b/>
          <w:bCs/>
          <w:color w:val="333333"/>
          <w:sz w:val="22"/>
          <w:szCs w:val="22"/>
        </w:rPr>
        <w:t xml:space="preserve">2. Shift to process and evidence language. </w:t>
      </w:r>
      <w:r>
        <w:rPr>
          <w:rFonts w:ascii="Arial" w:cs="Arial" w:eastAsia="Arial" w:hAnsi="Arial"/>
          <w:color w:val="333333"/>
          <w:sz w:val="22"/>
          <w:szCs w:val="22"/>
        </w:rPr>
        <w:t xml:space="preserve">Messages about verifiable processes (“tracked, tested, independently verified”) scored 2-3x higher than messages about values or commitments. People trust systems more than they trust institutions.</w:t>
      </w:r>
    </w:p>
    <w:p>
      <w:pPr>
        <w:pStyle w:val="ListParagraph"/>
        <w:numPr>
          <w:ilvl w:val="0"/>
          <w:numId w:val="2"/>
        </w:numPr>
        <w:spacing w:after="120" w:line="276"/>
      </w:pPr>
      <w:r>
        <w:rPr>
          <w:rFonts w:ascii="Arial" w:cs="Arial" w:eastAsia="Arial" w:hAnsi="Arial"/>
          <w:b/>
          <w:bCs/>
          <w:color w:val="333333"/>
          <w:sz w:val="22"/>
          <w:szCs w:val="22"/>
        </w:rPr>
        <w:t xml:space="preserve">3. Let third parties carry the message. </w:t>
      </w:r>
      <w:r>
        <w:rPr>
          <w:rFonts w:ascii="Arial" w:cs="Arial" w:eastAsia="Arial" w:hAnsi="Arial"/>
          <w:color w:val="333333"/>
          <w:sz w:val="22"/>
          <w:szCs w:val="22"/>
        </w:rPr>
        <w:t xml:space="preserve">The same message is 25-30% more believable when attributed to the FAA or an independent body than when attributed to Boeing. The company should invest in enabling third-party validation rather than in its own voice.</w:t>
      </w:r>
    </w:p>
    <w:p>
      <w:pPr>
        <w:pStyle w:val="ListParagraph"/>
        <w:numPr>
          <w:ilvl w:val="0"/>
          <w:numId w:val="2"/>
        </w:numPr>
        <w:spacing w:after="120" w:line="276"/>
      </w:pPr>
      <w:r>
        <w:rPr>
          <w:rFonts w:ascii="Arial" w:cs="Arial" w:eastAsia="Arial" w:hAnsi="Arial"/>
          <w:b/>
          <w:bCs/>
          <w:color w:val="333333"/>
          <w:sz w:val="22"/>
          <w:szCs w:val="22"/>
        </w:rPr>
        <w:t xml:space="preserve">4. Accept narrative asymmetry. </w:t>
      </w:r>
      <w:r>
        <w:rPr>
          <w:rFonts w:ascii="Arial" w:cs="Arial" w:eastAsia="Arial" w:hAnsi="Arial"/>
          <w:color w:val="333333"/>
          <w:sz w:val="22"/>
          <w:szCs w:val="22"/>
        </w:rPr>
        <w:t xml:space="preserve">Boeing cannot win a volume war with negative coverage. One incident erases months of progress. The strategy must be to minimise triggers (quality failures, whistleblower situations) rather than to maximise positive stories.</w:t>
      </w:r>
    </w:p>
    <w:p>
      <w:pPr>
        <w:pStyle w:val="ListParagraph"/>
        <w:numPr>
          <w:ilvl w:val="0"/>
          <w:numId w:val="2"/>
        </w:numPr>
        <w:spacing w:after="120" w:line="276"/>
      </w:pPr>
      <w:r>
        <w:rPr>
          <w:rFonts w:ascii="Arial" w:cs="Arial" w:eastAsia="Arial" w:hAnsi="Arial"/>
          <w:b/>
          <w:bCs/>
          <w:color w:val="333333"/>
          <w:sz w:val="22"/>
          <w:szCs w:val="22"/>
        </w:rPr>
        <w:t xml:space="preserve">5. The 737 Max name is a permanent liability. </w:t>
      </w:r>
      <w:r>
        <w:rPr>
          <w:rFonts w:ascii="Arial" w:cs="Arial" w:eastAsia="Arial" w:hAnsi="Arial"/>
          <w:color w:val="333333"/>
          <w:sz w:val="22"/>
          <w:szCs w:val="22"/>
        </w:rPr>
        <w:t xml:space="preserve">Consider whether the 737 Max designation can be phased out in favour of the technical designation (737-8, 737-9, 737-10). Airlines are already doing this independently. Supporting rather than resisting this trend may be commercially rational.</w:t>
      </w:r>
    </w:p>
    <w:p>
      <w:pPr>
        <w:spacing w:after="200" w:before="0" w:line="276"/>
        <w:jc w:val="left"/>
      </w:pPr>
      <w:r>
        <w:rPr>
          <w:rFonts w:ascii="Arial" w:cs="Arial" w:eastAsia="Arial" w:hAnsi="Arial"/>
          <w:b/>
          <w:bCs/>
          <w:color w:val="333333"/>
          <w:sz w:val="22"/>
          <w:szCs w:val="22"/>
        </w:rPr>
        <w:t xml:space="preserve">The most counterintuitive finding in this research: Boeing’s most effective message might be no message at all. Let the aircraft fly safely. Let regulators validate. Let airlines reassure their own passengers. Let time pass. The company that talks least about safety may ultimately be trusted most on safety.</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6"/>
        <w:szCs w:val="16"/>
      </w:rPr>
      <w:t xml:space="preserve">Boeing Media &amp; Reputation Analysis  |  Page </w:t>
    </w:r>
    <w:r>
      <w:rPr>
        <w:rFonts w:ascii="Arial" w:cs="Arial" w:eastAsia="Arial" w:hAnsi="Arial"/>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999999"/>
        <w:sz w:val="16"/>
        <w:szCs w:val="16"/>
      </w:rPr>
      <w:t xml:space="preserve">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0" w:after="240"/>
      <w:outlineLvl w:val="0"/>
    </w:pPr>
    <w:rPr>
      <w:rFonts w:ascii="Arial" w:cs="Arial" w:eastAsia="Arial" w:hAnsi="Arial"/>
      <w:b/>
      <w:bCs/>
      <w:color w:val="5BA8D6"/>
      <w:sz w:val="32"/>
      <w:szCs w:val="32"/>
    </w:rPr>
  </w:style>
  <w:style w:type="paragraph" w:styleId="Heading2">
    <w:name w:val="Heading 2"/>
    <w:basedOn w:val="Normal"/>
    <w:next w:val="Normal"/>
    <w:qFormat/>
    <w:pPr>
      <w:spacing w:before="300" w:after="180"/>
      <w:outlineLvl w:val="1"/>
    </w:pPr>
    <w:rPr>
      <w:rFonts w:ascii="Arial" w:cs="Arial" w:eastAsia="Arial" w:hAnsi="Arial"/>
      <w:b/>
      <w:bCs/>
      <w:color w:val="33333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2026-02-19T15:38:14.618Z</dcterms:created>
  <dcterms:modified xsi:type="dcterms:W3CDTF">2026-02-19T15:38:14.619Z</dcterms:modified>
</cp:coreProperties>
</file>

<file path=docProps/custom.xml><?xml version="1.0" encoding="utf-8"?>
<Properties xmlns="http://schemas.openxmlformats.org/officeDocument/2006/custom-properties" xmlns:vt="http://schemas.openxmlformats.org/officeDocument/2006/docPropsVTypes"/>
</file>