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before="1200" w:line="276"/>
        <w:jc w:val="left"/>
      </w:pPr>
      <w:r>
        <w:rPr>
          <w:rFonts w:ascii="Arial" w:cs="Arial" w:eastAsia="Arial" w:hAnsi="Arial"/>
          <w:b/>
          <w:bCs/>
          <w:i w:val="false"/>
          <w:iCs w:val="false"/>
          <w:color w:val="999999"/>
          <w:sz w:val="18"/>
          <w:szCs w:val="18"/>
        </w:rPr>
        <w:t xml:space="preserve">CONFIDENTIAL</w:t>
      </w:r>
    </w:p>
    <w:p>
      <w:pPr>
        <w:spacing w:after="200"/>
      </w:pPr>
      <w:r>
        <w:rPr>
          <w:rFonts w:ascii="Arial" w:cs="Arial" w:eastAsia="Arial" w:hAnsi="Arial"/>
          <w:b/>
          <w:bCs/>
          <w:color w:val="333333"/>
          <w:sz w:val="44"/>
          <w:szCs w:val="44"/>
        </w:rPr>
        <w:t xml:space="preserve">Boeing 737 Max Crisis</w:t>
      </w:r>
    </w:p>
    <w:p>
      <w:pPr>
        <w:spacing w:after="100"/>
      </w:pPr>
      <w:r>
        <w:rPr>
          <w:rFonts w:ascii="Arial" w:cs="Arial" w:eastAsia="Arial" w:hAnsi="Arial"/>
          <w:b/>
          <w:bCs/>
          <w:color w:val="5BA8D6"/>
          <w:sz w:val="28"/>
          <w:szCs w:val="28"/>
        </w:rPr>
        <w:t xml:space="preserve">Stakeholder Perception &amp; Trust Research</w:t>
      </w:r>
    </w:p>
    <w:p>
      <w:pPr>
        <w:spacing w:after="400" w:before="0" w:line="276"/>
        <w:jc w:val="left"/>
      </w:pPr>
      <w:r>
        <w:rPr>
          <w:rFonts w:ascii="Arial" w:cs="Arial" w:eastAsia="Arial" w:hAnsi="Arial"/>
          <w:b w:val="false"/>
          <w:bCs w:val="false"/>
          <w:i w:val="false"/>
          <w:iCs w:val="false"/>
          <w:color w:val="333333"/>
          <w:sz w:val="22"/>
          <w:szCs w:val="22"/>
        </w:rPr>
        <w:t xml:space="preserve">January 2026</w:t>
      </w:r>
    </w:p>
    <w:p>
      <w:pPr>
        <w:spacing w:after="100" w:before="0" w:line="276"/>
        <w:jc w:val="left"/>
      </w:pPr>
      <w:r>
        <w:rPr>
          <w:rFonts w:ascii="Arial" w:cs="Arial" w:eastAsia="Arial" w:hAnsi="Arial"/>
          <w:b/>
          <w:bCs/>
          <w:color w:val="333333"/>
          <w:sz w:val="22"/>
          <w:szCs w:val="22"/>
        </w:rPr>
        <w:t xml:space="preserve">Research Method: </w:t>
      </w:r>
      <w:r>
        <w:rPr>
          <w:rFonts w:ascii="Arial" w:cs="Arial" w:eastAsia="Arial" w:hAnsi="Arial"/>
          <w:color w:val="333333"/>
          <w:sz w:val="22"/>
          <w:szCs w:val="22"/>
        </w:rPr>
        <w:t xml:space="preserve">Quantitative survey (n=4,200 US adults) + Qualitative depth interviews (n=36 senior stakeholders) + Employee pulse survey (n=8,400)</w:t>
      </w:r>
    </w:p>
    <w:p>
      <w:pPr>
        <w:spacing w:after="100" w:before="0" w:line="276"/>
        <w:jc w:val="left"/>
      </w:pPr>
      <w:r>
        <w:rPr>
          <w:rFonts w:ascii="Arial" w:cs="Arial" w:eastAsia="Arial" w:hAnsi="Arial"/>
          <w:b/>
          <w:bCs/>
          <w:color w:val="333333"/>
          <w:sz w:val="22"/>
          <w:szCs w:val="22"/>
        </w:rPr>
        <w:t xml:space="preserve">Sample: </w:t>
      </w:r>
      <w:r>
        <w:rPr>
          <w:rFonts w:ascii="Arial" w:cs="Arial" w:eastAsia="Arial" w:hAnsi="Arial"/>
          <w:color w:val="333333"/>
          <w:sz w:val="22"/>
          <w:szCs w:val="22"/>
        </w:rPr>
        <w:t xml:space="preserve">US adults aged 18-75 who have flown commercially in the past 24 months; plus targeted samples of airline executives, aviation regulators, Congressional staffers, aviation journalists, and Boeing employees</w:t>
      </w:r>
    </w:p>
    <w:p>
      <w:pPr>
        <w:spacing w:after="200" w:before="0" w:line="276"/>
        <w:jc w:val="left"/>
      </w:pPr>
      <w:r>
        <w:rPr>
          <w:rFonts w:ascii="Arial" w:cs="Arial" w:eastAsia="Arial" w:hAnsi="Arial"/>
          <w:b/>
          <w:bCs/>
          <w:color w:val="333333"/>
          <w:sz w:val="22"/>
          <w:szCs w:val="22"/>
        </w:rPr>
        <w:t xml:space="preserve">Conducted by: </w:t>
      </w:r>
      <w:r>
        <w:rPr>
          <w:rFonts w:ascii="Arial" w:cs="Arial" w:eastAsia="Arial" w:hAnsi="Arial"/>
          <w:color w:val="333333"/>
          <w:sz w:val="22"/>
          <w:szCs w:val="22"/>
        </w:rPr>
        <w:t xml:space="preserve">Morning Consult + Edelman Trust Institute + Internal Boeing People Analytics</w:t>
      </w:r>
    </w:p>
    <w:p>
      <w:pPr>
        <w:pStyle w:val="Heading1"/>
        <w:pageBreakBefore/>
        <w:spacing w:before="0" w:after="240"/>
      </w:pPr>
      <w:r>
        <w:rPr>
          <w:rFonts w:ascii="Arial" w:cs="Arial" w:eastAsia="Arial" w:hAnsi="Arial"/>
          <w:b/>
          <w:bCs/>
          <w:color w:val="5BA8D6"/>
          <w:sz w:val="32"/>
          <w:szCs w:val="32"/>
        </w:rPr>
        <w:t xml:space="preserve">Executive Summary</w:t>
      </w:r>
    </w:p>
    <w:p>
      <w:pPr>
        <w:spacing w:after="200" w:before="0" w:line="276"/>
        <w:jc w:val="left"/>
      </w:pPr>
      <w:r>
        <w:rPr>
          <w:rFonts w:ascii="Arial" w:cs="Arial" w:eastAsia="Arial" w:hAnsi="Arial"/>
          <w:b w:val="false"/>
          <w:bCs w:val="false"/>
          <w:i w:val="false"/>
          <w:iCs w:val="false"/>
          <w:color w:val="333333"/>
          <w:sz w:val="22"/>
          <w:szCs w:val="22"/>
        </w:rPr>
        <w:t xml:space="preserve">Boeing exists in a trust paradox: the company is simultaneously indispensable and distrusted. The aviation system cannot function without Boeing, yet every stakeholder group, from regulators to the flying public, questions whether the company has genuinely changed since the 737 Max crashes that killed 346 people.</w:t>
      </w:r>
    </w:p>
    <w:p>
      <w:pPr>
        <w:spacing w:after="200" w:before="0" w:line="276"/>
        <w:jc w:val="left"/>
      </w:pPr>
      <w:r>
        <w:rPr>
          <w:rFonts w:ascii="Arial" w:cs="Arial" w:eastAsia="Arial" w:hAnsi="Arial"/>
          <w:b/>
          <w:bCs/>
          <w:color w:val="333333"/>
          <w:sz w:val="22"/>
          <w:szCs w:val="22"/>
        </w:rPr>
        <w:t xml:space="preserve">The core finding is a perception gap that defines the communications challenge: </w:t>
      </w:r>
      <w:r>
        <w:rPr>
          <w:rFonts w:ascii="Arial" w:cs="Arial" w:eastAsia="Arial" w:hAnsi="Arial"/>
          <w:color w:val="333333"/>
          <w:sz w:val="22"/>
          <w:szCs w:val="22"/>
        </w:rPr>
        <w:t xml:space="preserve">Boeing’s engineers believe the company has improved. Boeing’s stakeholders are not convinced. The gap between internal confidence and external scepticism is not closing at the rate the company needs.</w:t>
      </w:r>
    </w:p>
    <w:p>
      <w:pPr>
        <w:spacing w:after="200" w:before="0" w:line="276"/>
        <w:jc w:val="left"/>
      </w:pPr>
      <w:r>
        <w:rPr>
          <w:rFonts w:ascii="Arial" w:cs="Arial" w:eastAsia="Arial" w:hAnsi="Arial"/>
          <w:b w:val="false"/>
          <w:bCs w:val="false"/>
          <w:i w:val="false"/>
          <w:iCs w:val="false"/>
          <w:color w:val="333333"/>
          <w:sz w:val="22"/>
          <w:szCs w:val="22"/>
        </w:rPr>
        <w:t xml:space="preserve">Three findings shape the strategic landscape:</w:t>
      </w:r>
    </w:p>
    <w:p>
      <w:pPr>
        <w:pStyle w:val="ListParagraph"/>
        <w:numPr>
          <w:ilvl w:val="0"/>
          <w:numId w:val="2"/>
        </w:numPr>
        <w:spacing w:after="120" w:line="276"/>
      </w:pPr>
      <w:r>
        <w:rPr>
          <w:rFonts w:ascii="Arial" w:cs="Arial" w:eastAsia="Arial" w:hAnsi="Arial"/>
          <w:b/>
          <w:bCs/>
          <w:color w:val="333333"/>
          <w:sz w:val="22"/>
          <w:szCs w:val="22"/>
        </w:rPr>
        <w:t xml:space="preserve">1. Trust is tiered, not universal. </w:t>
      </w:r>
      <w:r>
        <w:rPr>
          <w:rFonts w:ascii="Arial" w:cs="Arial" w:eastAsia="Arial" w:hAnsi="Arial"/>
          <w:color w:val="333333"/>
          <w:sz w:val="22"/>
          <w:szCs w:val="22"/>
        </w:rPr>
        <w:t xml:space="preserve">Frequent flyers and aviation professionals trust Boeing significantly more than infrequent flyers and the general public. The people closest to the product are least concerned. The people furthest from it are most anxious. This suggests the problem is narrative, not operational.</w:t>
      </w:r>
    </w:p>
    <w:p>
      <w:pPr>
        <w:pStyle w:val="ListParagraph"/>
        <w:numPr>
          <w:ilvl w:val="0"/>
          <w:numId w:val="2"/>
        </w:numPr>
        <w:spacing w:after="120" w:line="276"/>
      </w:pPr>
      <w:r>
        <w:rPr>
          <w:rFonts w:ascii="Arial" w:cs="Arial" w:eastAsia="Arial" w:hAnsi="Arial"/>
          <w:b/>
          <w:bCs/>
          <w:color w:val="333333"/>
          <w:sz w:val="22"/>
          <w:szCs w:val="22"/>
        </w:rPr>
        <w:t xml:space="preserve">2. Every communications effort is a double-edged sword. </w:t>
      </w:r>
      <w:r>
        <w:rPr>
          <w:rFonts w:ascii="Arial" w:cs="Arial" w:eastAsia="Arial" w:hAnsi="Arial"/>
          <w:color w:val="333333"/>
          <w:sz w:val="22"/>
          <w:szCs w:val="22"/>
        </w:rPr>
        <w:t xml:space="preserve">When Boeing talks about safety, it reminds people why safety is in question. 58% of respondents said corporate safety messaging from Boeing makes them “more nervous, not less.” The act of reassurance activates the anxiety it aims to reduce.</w:t>
      </w:r>
    </w:p>
    <w:p>
      <w:pPr>
        <w:pStyle w:val="ListParagraph"/>
        <w:numPr>
          <w:ilvl w:val="0"/>
          <w:numId w:val="2"/>
        </w:numPr>
        <w:spacing w:after="120" w:line="276"/>
      </w:pPr>
      <w:r>
        <w:rPr>
          <w:rFonts w:ascii="Arial" w:cs="Arial" w:eastAsia="Arial" w:hAnsi="Arial"/>
          <w:b/>
          <w:bCs/>
          <w:color w:val="333333"/>
          <w:sz w:val="22"/>
          <w:szCs w:val="22"/>
        </w:rPr>
        <w:t xml:space="preserve">3. The door plug incident reset the clock. </w:t>
      </w:r>
      <w:r>
        <w:rPr>
          <w:rFonts w:ascii="Arial" w:cs="Arial" w:eastAsia="Arial" w:hAnsi="Arial"/>
          <w:color w:val="333333"/>
          <w:sz w:val="22"/>
          <w:szCs w:val="22"/>
        </w:rPr>
        <w:t xml:space="preserve">Trust metrics that had been slowly recovering between 2020 and 2023 dropped sharply after the Alaska Airlines door plug blowout in January 2024. Recovery from a second incident takes longer than recovery from the first, because it suggests a pattern rather than an event.</w:t>
      </w:r>
    </w:p>
    <w:p>
      <w:pPr>
        <w:pStyle w:val="Heading1"/>
        <w:pageBreakBefore/>
        <w:spacing w:before="0" w:after="240"/>
      </w:pPr>
      <w:r>
        <w:rPr>
          <w:rFonts w:ascii="Arial" w:cs="Arial" w:eastAsia="Arial" w:hAnsi="Arial"/>
          <w:b/>
          <w:bCs/>
          <w:color w:val="5BA8D6"/>
          <w:sz w:val="32"/>
          <w:szCs w:val="32"/>
        </w:rPr>
        <w:t xml:space="preserve">Public Trust: The Flying Public</w:t>
      </w:r>
    </w:p>
    <w:p>
      <w:pPr>
        <w:pStyle w:val="Heading2"/>
        <w:spacing w:before="300" w:after="180"/>
      </w:pPr>
      <w:r>
        <w:rPr>
          <w:rFonts w:ascii="Arial" w:cs="Arial" w:eastAsia="Arial" w:hAnsi="Arial"/>
          <w:b/>
          <w:bCs/>
          <w:color w:val="333333"/>
          <w:sz w:val="26"/>
          <w:szCs w:val="26"/>
        </w:rPr>
        <w:t xml:space="preserve">Quantitative Findings (n=4,200)</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300"/>
        <w:gridCol w:w="1300"/>
        <w:gridCol w:w="1300"/>
        <w:gridCol w:w="1300"/>
        <w:gridCol w:w="1826"/>
      </w:tblGrid>
      <w:tr>
        <w:tc>
          <w:tcPr>
            <w:tcW w:type="dxa" w:w="20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Metric</w:t>
            </w:r>
          </w:p>
        </w:tc>
        <w:tc>
          <w:tcPr>
            <w:tcW w:type="dxa" w:w="13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2019 (Post-Crash)</w:t>
            </w:r>
          </w:p>
        </w:tc>
        <w:tc>
          <w:tcPr>
            <w:tcW w:type="dxa" w:w="13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2022 (Recovery)</w:t>
            </w:r>
          </w:p>
        </w:tc>
        <w:tc>
          <w:tcPr>
            <w:tcW w:type="dxa" w:w="13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Jan 2024 (Pre-Door Plug)</w:t>
            </w:r>
          </w:p>
        </w:tc>
        <w:tc>
          <w:tcPr>
            <w:tcW w:type="dxa" w:w="13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Current (Jan 2026)</w:t>
            </w:r>
          </w:p>
        </w:tc>
        <w:tc>
          <w:tcPr>
            <w:tcW w:type="dxa" w:w="18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Trend</w:t>
            </w:r>
          </w:p>
        </w:tc>
      </w:tr>
      <w:tr>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Trust Boeing to build safe aircraft</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29%</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44%</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51%</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46%</w:t>
            </w:r>
          </w:p>
        </w:tc>
        <w:tc>
          <w:tcPr>
            <w:tcW w:type="dxa" w:w="18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Recovering but fragile</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Would actively avoid 737 Max</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67%</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52%</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39%</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42%</w:t>
            </w:r>
          </w:p>
        </w:tc>
        <w:tc>
          <w:tcPr>
            <w:tcW w:type="dxa" w:w="18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Re-elevated after door plug</w:t>
            </w:r>
          </w:p>
        </w:tc>
      </w:tr>
      <w:tr>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Check aircraft type before booking</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41%</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22%</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16%</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24%</w:t>
            </w:r>
          </w:p>
        </w:tc>
        <w:tc>
          <w:tcPr>
            <w:tcW w:type="dxa" w:w="18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Re-elevated after door plug</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Boeing puts safety before profit</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14%</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28%</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34%</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31%</w:t>
            </w:r>
          </w:p>
        </w:tc>
        <w:tc>
          <w:tcPr>
            <w:tcW w:type="dxa" w:w="18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Stalled</w:t>
            </w:r>
          </w:p>
        </w:tc>
      </w:tr>
      <w:tr>
        <w:tc>
          <w:tcPr>
            <w:tcW w:type="dxa" w:w="2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Boeing has genuinely changed</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11%</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22%</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29%</w:t>
            </w:r>
          </w:p>
        </w:tc>
        <w:tc>
          <w:tcPr>
            <w:tcW w:type="dxa" w:w="13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26%</w:t>
            </w:r>
          </w:p>
        </w:tc>
        <w:tc>
          <w:tcPr>
            <w:tcW w:type="dxa" w:w="18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Stalled</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Comfortable flying on 737 Max</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31%</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48%</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58%</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52%</w:t>
            </w:r>
          </w:p>
        </w:tc>
        <w:tc>
          <w:tcPr>
            <w:tcW w:type="dxa" w:w="18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Recovered but volatile</w:t>
            </w:r>
          </w:p>
        </w:tc>
      </w:tr>
    </w:tbl>
    <w:p>
      <w:pPr>
        <w:pStyle w:val="Heading2"/>
        <w:spacing w:before="300" w:after="180"/>
      </w:pPr>
      <w:r>
        <w:rPr>
          <w:rFonts w:ascii="Arial" w:cs="Arial" w:eastAsia="Arial" w:hAnsi="Arial"/>
          <w:b/>
          <w:bCs/>
          <w:color w:val="333333"/>
          <w:sz w:val="26"/>
          <w:szCs w:val="26"/>
        </w:rPr>
        <w:t xml:space="preserve">Segmentation by Flyer Type</w:t>
      </w:r>
    </w:p>
    <w:p>
      <w:pPr>
        <w:spacing w:after="200" w:before="0" w:line="276"/>
        <w:jc w:val="left"/>
      </w:pPr>
      <w:r>
        <w:rPr>
          <w:rFonts w:ascii="Arial" w:cs="Arial" w:eastAsia="Arial" w:hAnsi="Arial"/>
          <w:b w:val="false"/>
          <w:bCs w:val="false"/>
          <w:i w:val="false"/>
          <w:iCs w:val="false"/>
          <w:color w:val="333333"/>
          <w:sz w:val="22"/>
          <w:szCs w:val="22"/>
        </w:rPr>
        <w:t xml:space="preserve">Trust varies dramatically by flying frequency. This is the most strategically significant finding in the dataset: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600"/>
        <w:gridCol w:w="1000"/>
        <w:gridCol w:w="1400"/>
        <w:gridCol w:w="1400"/>
        <w:gridCol w:w="1200"/>
        <w:gridCol w:w="2426"/>
      </w:tblGrid>
      <w:tr>
        <w:tc>
          <w:tcPr>
            <w:tcW w:type="dxa" w:w="16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Segment</w:t>
            </w:r>
          </w:p>
        </w:tc>
        <w:tc>
          <w:tcPr>
            <w:tcW w:type="dxa" w:w="10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 of Flyers</w:t>
            </w:r>
          </w:p>
        </w:tc>
        <w:tc>
          <w:tcPr>
            <w:tcW w:type="dxa" w:w="14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Trust Boeing (Safe Aircraft)</w:t>
            </w:r>
          </w:p>
        </w:tc>
        <w:tc>
          <w:tcPr>
            <w:tcW w:type="dxa" w:w="14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Would Avoid 737 Max</w:t>
            </w:r>
          </w:p>
        </w:tc>
        <w:tc>
          <w:tcPr>
            <w:tcW w:type="dxa" w:w="12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Check Aircraft Type</w:t>
            </w:r>
          </w:p>
        </w:tc>
        <w:tc>
          <w:tcPr>
            <w:tcW w:type="dxa" w:w="24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Key Characteristic</w:t>
            </w:r>
          </w:p>
        </w:tc>
      </w:tr>
      <w:tr>
        <w:tc>
          <w:tcPr>
            <w:tcW w:type="dxa" w:w="16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Frequent (10+ flights/yr)</w:t>
            </w:r>
          </w:p>
        </w:tc>
        <w:tc>
          <w:tcPr>
            <w:tcW w:type="dxa" w:w="1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64%</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22%</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31%</w:t>
            </w:r>
          </w:p>
        </w:tc>
        <w:tc>
          <w:tcPr>
            <w:tcW w:type="dxa" w:w="24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Trust is high but informed. They check, then board anyway.</w:t>
            </w:r>
          </w:p>
        </w:tc>
      </w:tr>
      <w:tr>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Regular (4-9 flights/yr)</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27%</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52%</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34%</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26%</w:t>
            </w:r>
          </w:p>
        </w:tc>
        <w:tc>
          <w:tcPr>
            <w:tcW w:type="dxa" w:w="24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Mildly concerned. Unlikely to change behaviour.</w:t>
            </w:r>
          </w:p>
        </w:tc>
      </w:tr>
      <w:tr>
        <w:tc>
          <w:tcPr>
            <w:tcW w:type="dxa" w:w="16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Occasional (1-3 flights/yr)</w:t>
            </w:r>
          </w:p>
        </w:tc>
        <w:tc>
          <w:tcPr>
            <w:tcW w:type="dxa" w:w="1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34%</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41%</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48%</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19%</w:t>
            </w:r>
          </w:p>
        </w:tc>
        <w:tc>
          <w:tcPr>
            <w:tcW w:type="dxa" w:w="24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Concerned when reminded. Anxiety is latent, not active.</w:t>
            </w:r>
          </w:p>
        </w:tc>
      </w:tr>
      <w:tr>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Rare (&lt;1 flight/yr)</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21%</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32%</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59%</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12%</w:t>
            </w:r>
          </w:p>
        </w:tc>
        <w:tc>
          <w:tcPr>
            <w:tcW w:type="dxa" w:w="24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Most anxious but least likely to check. Fear is media-driven, not experience-driven.</w:t>
            </w:r>
          </w:p>
        </w:tc>
      </w:tr>
    </w:tbl>
    <w:p>
      <w:pPr>
        <w:spacing w:after="200" w:before="0" w:line="276"/>
        <w:jc w:val="left"/>
      </w:pPr>
      <w:r>
        <w:rPr>
          <w:rFonts w:ascii="Arial" w:cs="Arial" w:eastAsia="Arial" w:hAnsi="Arial"/>
          <w:b/>
          <w:bCs/>
          <w:color w:val="333333"/>
          <w:sz w:val="22"/>
          <w:szCs w:val="22"/>
        </w:rPr>
        <w:t xml:space="preserve">Strategic implication: </w:t>
      </w:r>
      <w:r>
        <w:rPr>
          <w:rFonts w:ascii="Arial" w:cs="Arial" w:eastAsia="Arial" w:hAnsi="Arial"/>
          <w:color w:val="333333"/>
          <w:sz w:val="22"/>
          <w:szCs w:val="22"/>
        </w:rPr>
        <w:t xml:space="preserve">The people who fly most trust Boeing most. The people who fly least trust Boeing least but also do not check aircraft type. The most anxious segment is also the least likely to encounter the product. This suggests the trust problem is primarily a media narrative problem, not a product experience problem.</w:t>
      </w:r>
    </w:p>
    <w:p>
      <w:pPr>
        <w:pStyle w:val="Heading2"/>
        <w:spacing w:before="300" w:after="180"/>
      </w:pPr>
      <w:r>
        <w:rPr>
          <w:rFonts w:ascii="Arial" w:cs="Arial" w:eastAsia="Arial" w:hAnsi="Arial"/>
          <w:b/>
          <w:bCs/>
          <w:color w:val="333333"/>
          <w:sz w:val="26"/>
          <w:szCs w:val="26"/>
        </w:rPr>
        <w:t xml:space="preserve">The Safety Messaging Paradox</w:t>
      </w:r>
    </w:p>
    <w:p>
      <w:pPr>
        <w:spacing w:after="200" w:before="0" w:line="276"/>
        <w:jc w:val="left"/>
      </w:pPr>
      <w:r>
        <w:rPr>
          <w:rFonts w:ascii="Arial" w:cs="Arial" w:eastAsia="Arial" w:hAnsi="Arial"/>
          <w:b w:val="false"/>
          <w:bCs w:val="false"/>
          <w:i w:val="false"/>
          <w:iCs w:val="false"/>
          <w:color w:val="333333"/>
          <w:sz w:val="22"/>
          <w:szCs w:val="22"/>
        </w:rPr>
        <w:t xml:space="preserve">We tested four communications approaches with a nationally representative sample: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1400"/>
        <w:gridCol w:w="1200"/>
        <w:gridCol w:w="1400"/>
        <w:gridCol w:w="2226"/>
      </w:tblGrid>
      <w:tr>
        <w:tc>
          <w:tcPr>
            <w:tcW w:type="dxa" w:w="28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Message Approach</w:t>
            </w:r>
          </w:p>
        </w:tc>
        <w:tc>
          <w:tcPr>
            <w:tcW w:type="dxa" w:w="14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More Reassured</w:t>
            </w:r>
          </w:p>
        </w:tc>
        <w:tc>
          <w:tcPr>
            <w:tcW w:type="dxa" w:w="12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No Change</w:t>
            </w:r>
          </w:p>
        </w:tc>
        <w:tc>
          <w:tcPr>
            <w:tcW w:type="dxa" w:w="14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More Nervous</w:t>
            </w:r>
          </w:p>
        </w:tc>
        <w:tc>
          <w:tcPr>
            <w:tcW w:type="dxa" w:w="22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Net Effect</w:t>
            </w:r>
          </w:p>
        </w:tc>
      </w:tr>
      <w:tr>
        <w:tc>
          <w:tcPr>
            <w:tcW w:type="dxa" w:w="2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Boeing CEO statement: “Safety is our top priority”</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24%</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58%</w:t>
            </w:r>
          </w:p>
        </w:tc>
        <w:tc>
          <w:tcPr>
            <w:tcW w:type="dxa" w:w="22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-40pp</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Boeing data: “0 incidents in 2 years of 737 Max flying”</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34%</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31%</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35%</w:t>
            </w:r>
          </w:p>
        </w:tc>
        <w:tc>
          <w:tcPr>
            <w:tcW w:type="dxa" w:w="22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-1pp</w:t>
            </w:r>
          </w:p>
        </w:tc>
      </w:tr>
      <w:tr>
        <w:tc>
          <w:tcPr>
            <w:tcW w:type="dxa" w:w="2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Independent FAA statement: “Boeing meeting all requirements”</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47%</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28%</w:t>
            </w:r>
          </w:p>
        </w:tc>
        <w:tc>
          <w:tcPr>
            <w:tcW w:type="dxa" w:w="14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25%</w:t>
            </w:r>
          </w:p>
        </w:tc>
        <w:tc>
          <w:tcPr>
            <w:tcW w:type="dxa" w:w="22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+22pp</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Airline CEO statement: “We trust Boeing aircraft with our passengers”</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42%</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32%</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26%</w:t>
            </w:r>
          </w:p>
        </w:tc>
        <w:tc>
          <w:tcPr>
            <w:tcW w:type="dxa" w:w="22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+16pp</w:t>
            </w:r>
          </w:p>
        </w:tc>
      </w:tr>
    </w:tbl>
    <w:p>
      <w:pPr>
        <w:spacing w:after="200" w:before="0" w:line="276"/>
        <w:jc w:val="left"/>
      </w:pPr>
      <w:r>
        <w:rPr>
          <w:rFonts w:ascii="Arial" w:cs="Arial" w:eastAsia="Arial" w:hAnsi="Arial"/>
          <w:b/>
          <w:bCs/>
          <w:color w:val="333333"/>
          <w:sz w:val="22"/>
          <w:szCs w:val="22"/>
        </w:rPr>
        <w:t xml:space="preserve">Critical finding: </w:t>
      </w:r>
      <w:r>
        <w:rPr>
          <w:rFonts w:ascii="Arial" w:cs="Arial" w:eastAsia="Arial" w:hAnsi="Arial"/>
          <w:color w:val="333333"/>
          <w:sz w:val="22"/>
          <w:szCs w:val="22"/>
        </w:rPr>
        <w:t xml:space="preserve">When Boeing speaks about its own safety, it makes the public more nervous, not less. When independent third parties vouch for Boeing, confidence increases. The implication is clear: Boeing should not be the voice reassuring the public about Boeing. That role belongs to regulators, airlines, and independent experts.</w:t>
      </w:r>
    </w:p>
    <w:p>
      <w:pPr>
        <w:pStyle w:val="Heading1"/>
        <w:pageBreakBefore/>
        <w:spacing w:before="0" w:after="240"/>
      </w:pPr>
      <w:r>
        <w:rPr>
          <w:rFonts w:ascii="Arial" w:cs="Arial" w:eastAsia="Arial" w:hAnsi="Arial"/>
          <w:b/>
          <w:bCs/>
          <w:color w:val="5BA8D6"/>
          <w:sz w:val="32"/>
          <w:szCs w:val="32"/>
        </w:rPr>
        <w:t xml:space="preserve">Regulatory Stakeholders</w:t>
      </w:r>
    </w:p>
    <w:p>
      <w:pPr>
        <w:pStyle w:val="Heading2"/>
        <w:spacing w:before="300" w:after="180"/>
      </w:pPr>
      <w:r>
        <w:rPr>
          <w:rFonts w:ascii="Arial" w:cs="Arial" w:eastAsia="Arial" w:hAnsi="Arial"/>
          <w:b/>
          <w:bCs/>
          <w:color w:val="333333"/>
          <w:sz w:val="26"/>
          <w:szCs w:val="26"/>
        </w:rPr>
        <w:t xml:space="preserve">Depth Interviews: FAA and International Regulators (n=8)</w:t>
      </w:r>
    </w:p>
    <w:p>
      <w:pPr>
        <w:spacing w:after="200" w:before="0" w:line="276"/>
        <w:jc w:val="left"/>
      </w:pPr>
      <w:r>
        <w:rPr>
          <w:rFonts w:ascii="Arial" w:cs="Arial" w:eastAsia="Arial" w:hAnsi="Arial"/>
          <w:b w:val="false"/>
          <w:bCs w:val="false"/>
          <w:i w:val="false"/>
          <w:iCs w:val="false"/>
          <w:color w:val="333333"/>
          <w:sz w:val="22"/>
          <w:szCs w:val="22"/>
        </w:rPr>
        <w:t xml:space="preserve">Eight senior regulatory officials were interviewed confidentially (4 FAA, 2 EASA, 1 TCCA, 1 CAAC). All interviews were conducted under Chatham House rules.</w:t>
      </w:r>
    </w:p>
    <w:p>
      <w:pPr>
        <w:spacing w:after="200" w:before="0" w:line="276"/>
        <w:jc w:val="left"/>
      </w:pPr>
      <w:r>
        <w:rPr>
          <w:rFonts w:ascii="Arial" w:cs="Arial" w:eastAsia="Arial" w:hAnsi="Arial"/>
          <w:b/>
          <w:bCs/>
          <w:color w:val="333333"/>
          <w:sz w:val="22"/>
          <w:szCs w:val="22"/>
        </w:rPr>
        <w:t xml:space="preserve">Consistent themes:</w:t>
      </w:r>
    </w:p>
    <w:p>
      <w:pPr>
        <w:pStyle w:val="ListParagraph"/>
        <w:numPr>
          <w:ilvl w:val="0"/>
          <w:numId w:val="2"/>
        </w:numPr>
        <w:spacing w:after="120" w:line="276"/>
      </w:pPr>
      <w:r>
        <w:rPr>
          <w:rFonts w:ascii="Arial" w:cs="Arial" w:eastAsia="Arial" w:hAnsi="Arial"/>
          <w:b/>
          <w:bCs/>
          <w:color w:val="333333"/>
          <w:sz w:val="22"/>
          <w:szCs w:val="22"/>
        </w:rPr>
        <w:t xml:space="preserve">Actions over words: </w:t>
      </w:r>
      <w:r>
        <w:rPr>
          <w:rFonts w:ascii="Arial" w:cs="Arial" w:eastAsia="Arial" w:hAnsi="Arial"/>
          <w:color w:val="333333"/>
          <w:sz w:val="22"/>
          <w:szCs w:val="22"/>
        </w:rPr>
        <w:t xml:space="preserve">“We have been told Boeing has changed many times. What we need is not another letter from the CEO. We need 24 months of clean production data, zero whistleblower complaints to our office, and demonstrated independence of the safety function from commercial pressure.” (FAA senior official)</w:t>
      </w:r>
    </w:p>
    <w:p>
      <w:pPr>
        <w:pStyle w:val="ListParagraph"/>
        <w:numPr>
          <w:ilvl w:val="0"/>
          <w:numId w:val="2"/>
        </w:numPr>
        <w:spacing w:after="120" w:line="276"/>
      </w:pPr>
      <w:r>
        <w:rPr>
          <w:rFonts w:ascii="Arial" w:cs="Arial" w:eastAsia="Arial" w:hAnsi="Arial"/>
          <w:b/>
          <w:bCs/>
          <w:color w:val="333333"/>
          <w:sz w:val="22"/>
          <w:szCs w:val="22"/>
        </w:rPr>
        <w:t xml:space="preserve">Captured regulator anxiety: </w:t>
      </w:r>
      <w:r>
        <w:rPr>
          <w:rFonts w:ascii="Arial" w:cs="Arial" w:eastAsia="Arial" w:hAnsi="Arial"/>
          <w:color w:val="333333"/>
          <w:sz w:val="22"/>
          <w:szCs w:val="22"/>
        </w:rPr>
        <w:t xml:space="preserve">“Our credibility depends on being seen as tough on Boeing. If we ease restrictions and something happens, the institution is finished. We would rather over-regulate than under-regulate right now.” (FAA official)</w:t>
      </w:r>
    </w:p>
    <w:p>
      <w:pPr>
        <w:pStyle w:val="ListParagraph"/>
        <w:numPr>
          <w:ilvl w:val="0"/>
          <w:numId w:val="2"/>
        </w:numPr>
        <w:spacing w:after="120" w:line="276"/>
      </w:pPr>
      <w:r>
        <w:rPr>
          <w:rFonts w:ascii="Arial" w:cs="Arial" w:eastAsia="Arial" w:hAnsi="Arial"/>
          <w:b/>
          <w:bCs/>
          <w:color w:val="333333"/>
          <w:sz w:val="22"/>
          <w:szCs w:val="22"/>
        </w:rPr>
        <w:t xml:space="preserve">Production cap as leverage: </w:t>
      </w:r>
      <w:r>
        <w:rPr>
          <w:rFonts w:ascii="Arial" w:cs="Arial" w:eastAsia="Arial" w:hAnsi="Arial"/>
          <w:color w:val="333333"/>
          <w:sz w:val="22"/>
          <w:szCs w:val="22"/>
        </w:rPr>
        <w:t xml:space="preserve">“The production cap is the most effective tool we have. Boeing’s commercial pressure to remove it gives us leverage to demand real changes. We are in no rush to remove it.” (FAA official)</w:t>
      </w:r>
    </w:p>
    <w:p>
      <w:pPr>
        <w:pStyle w:val="ListParagraph"/>
        <w:numPr>
          <w:ilvl w:val="0"/>
          <w:numId w:val="2"/>
        </w:numPr>
        <w:spacing w:after="120" w:line="276"/>
      </w:pPr>
      <w:r>
        <w:rPr>
          <w:rFonts w:ascii="Arial" w:cs="Arial" w:eastAsia="Arial" w:hAnsi="Arial"/>
          <w:b/>
          <w:bCs/>
          <w:color w:val="333333"/>
          <w:sz w:val="22"/>
          <w:szCs w:val="22"/>
        </w:rPr>
        <w:t xml:space="preserve">Institutional memory is long: </w:t>
      </w:r>
      <w:r>
        <w:rPr>
          <w:rFonts w:ascii="Arial" w:cs="Arial" w:eastAsia="Arial" w:hAnsi="Arial"/>
          <w:color w:val="333333"/>
          <w:sz w:val="22"/>
          <w:szCs w:val="22"/>
        </w:rPr>
        <w:t xml:space="preserve">“The MCAS deception changed our relationship with Boeing fundamentally. There was a time when we trusted what Boeing told us. That time is over. Every data point they submit is now independently verified. That will continue for years.” (EASA official)</w:t>
      </w:r>
    </w:p>
    <w:p>
      <w:pPr>
        <w:pStyle w:val="ListParagraph"/>
        <w:numPr>
          <w:ilvl w:val="0"/>
          <w:numId w:val="2"/>
        </w:numPr>
        <w:spacing w:after="120" w:line="276"/>
      </w:pPr>
      <w:r>
        <w:rPr>
          <w:rFonts w:ascii="Arial" w:cs="Arial" w:eastAsia="Arial" w:hAnsi="Arial"/>
          <w:b/>
          <w:bCs/>
          <w:color w:val="333333"/>
          <w:sz w:val="22"/>
          <w:szCs w:val="22"/>
        </w:rPr>
        <w:t xml:space="preserve">New leadership cautious optimism: </w:t>
      </w:r>
      <w:r>
        <w:rPr>
          <w:rFonts w:ascii="Arial" w:cs="Arial" w:eastAsia="Arial" w:hAnsi="Arial"/>
          <w:color w:val="333333"/>
          <w:sz w:val="22"/>
          <w:szCs w:val="22"/>
        </w:rPr>
        <w:t xml:space="preserve">“Ortberg is different from Calhoun who was different from Muilenburg. Each one was supposed to be the turnaround CEO. We’ll judge on results, not on tone. But his engineering background is noted.” (FAA official)</w:t>
      </w:r>
    </w:p>
    <w:p>
      <w:pPr>
        <w:spacing w:after="200" w:before="0" w:line="276"/>
        <w:jc w:val="left"/>
      </w:pPr>
      <w:r>
        <w:rPr>
          <w:rFonts w:ascii="Arial" w:cs="Arial" w:eastAsia="Arial" w:hAnsi="Arial"/>
          <w:b/>
          <w:bCs/>
          <w:color w:val="333333"/>
          <w:sz w:val="22"/>
          <w:szCs w:val="22"/>
        </w:rPr>
        <w:t xml:space="preserve">Regulator summary: </w:t>
      </w:r>
      <w:r>
        <w:rPr>
          <w:rFonts w:ascii="Arial" w:cs="Arial" w:eastAsia="Arial" w:hAnsi="Arial"/>
          <w:color w:val="333333"/>
          <w:sz w:val="22"/>
          <w:szCs w:val="22"/>
        </w:rPr>
        <w:t xml:space="preserve">Regulators are the most important stakeholder group and the hardest to influence through communications. They explicitly discount corporate messaging and require operational evidence over extended timeframes. The strategic implication is that Boeing’s regulatory communications should be data-only: compliance reports, quality metrics, and structural reform documentation. Any narrative overlay will be counterproductive.</w:t>
      </w:r>
    </w:p>
    <w:p>
      <w:pPr>
        <w:pStyle w:val="Heading1"/>
        <w:pageBreakBefore/>
        <w:spacing w:before="0" w:after="240"/>
      </w:pPr>
      <w:r>
        <w:rPr>
          <w:rFonts w:ascii="Arial" w:cs="Arial" w:eastAsia="Arial" w:hAnsi="Arial"/>
          <w:b/>
          <w:bCs/>
          <w:color w:val="5BA8D6"/>
          <w:sz w:val="32"/>
          <w:szCs w:val="32"/>
        </w:rPr>
        <w:t xml:space="preserve">Airline Customers</w:t>
      </w:r>
    </w:p>
    <w:p>
      <w:pPr>
        <w:pStyle w:val="Heading2"/>
        <w:spacing w:before="300" w:after="180"/>
      </w:pPr>
      <w:r>
        <w:rPr>
          <w:rFonts w:ascii="Arial" w:cs="Arial" w:eastAsia="Arial" w:hAnsi="Arial"/>
          <w:b/>
          <w:bCs/>
          <w:color w:val="333333"/>
          <w:sz w:val="26"/>
          <w:szCs w:val="26"/>
        </w:rPr>
        <w:t xml:space="preserve">Depth Interviews: Airline Executives (n=12)</w:t>
      </w:r>
    </w:p>
    <w:p>
      <w:pPr>
        <w:spacing w:after="200" w:before="0" w:line="276"/>
        <w:jc w:val="left"/>
      </w:pPr>
      <w:r>
        <w:rPr>
          <w:rFonts w:ascii="Arial" w:cs="Arial" w:eastAsia="Arial" w:hAnsi="Arial"/>
          <w:b w:val="false"/>
          <w:bCs w:val="false"/>
          <w:i w:val="false"/>
          <w:iCs w:val="false"/>
          <w:color w:val="333333"/>
          <w:sz w:val="22"/>
          <w:szCs w:val="22"/>
        </w:rPr>
        <w:t xml:space="preserve">Twelve senior executives from 737 Max operators were interviewed (4 US majors, 3 European flag carriers, 3 low-cost carriers, 2 Asian carriers). Key themes:</w:t>
      </w:r>
    </w:p>
    <w:p>
      <w:pPr>
        <w:pStyle w:val="ListParagraph"/>
        <w:numPr>
          <w:ilvl w:val="0"/>
          <w:numId w:val="2"/>
        </w:numPr>
        <w:spacing w:after="120" w:line="276"/>
      </w:pPr>
      <w:r>
        <w:rPr>
          <w:rFonts w:ascii="Arial" w:cs="Arial" w:eastAsia="Arial" w:hAnsi="Arial"/>
          <w:b/>
          <w:bCs/>
          <w:color w:val="333333"/>
          <w:sz w:val="22"/>
          <w:szCs w:val="22"/>
        </w:rPr>
        <w:t xml:space="preserve">Stop being the story: </w:t>
      </w:r>
      <w:r>
        <w:rPr>
          <w:rFonts w:ascii="Arial" w:cs="Arial" w:eastAsia="Arial" w:hAnsi="Arial"/>
          <w:color w:val="333333"/>
          <w:sz w:val="22"/>
          <w:szCs w:val="22"/>
        </w:rPr>
        <w:t xml:space="preserve">“Every time Boeing runs a safety campaign, my call centre gets questions about whether our planes are safe. The most helpful thing Boeing can do for us is be boring. Stop making news. Deliver aircraft on time. Fix the quality issues. Be invisible.” (US major airline COO)</w:t>
      </w:r>
    </w:p>
    <w:p>
      <w:pPr>
        <w:pStyle w:val="ListParagraph"/>
        <w:numPr>
          <w:ilvl w:val="0"/>
          <w:numId w:val="2"/>
        </w:numPr>
        <w:spacing w:after="120" w:line="276"/>
      </w:pPr>
      <w:r>
        <w:rPr>
          <w:rFonts w:ascii="Arial" w:cs="Arial" w:eastAsia="Arial" w:hAnsi="Arial"/>
          <w:b/>
          <w:bCs/>
          <w:color w:val="333333"/>
          <w:sz w:val="22"/>
          <w:szCs w:val="22"/>
        </w:rPr>
        <w:t xml:space="preserve">Commercial pragmatism: </w:t>
      </w:r>
      <w:r>
        <w:rPr>
          <w:rFonts w:ascii="Arial" w:cs="Arial" w:eastAsia="Arial" w:hAnsi="Arial"/>
          <w:color w:val="333333"/>
          <w:sz w:val="22"/>
          <w:szCs w:val="22"/>
        </w:rPr>
        <w:t xml:space="preserve">“We need the 737 Max. There is no alternative in this class at this volume. Airbus’s backlog is eight years. We cannot switch. So we need Boeing to work, which means we need the public to stop worrying about Boeing. But Boeing’s own messaging is making it worse.” (European LCC CEO)</w:t>
      </w:r>
    </w:p>
    <w:p>
      <w:pPr>
        <w:pStyle w:val="ListParagraph"/>
        <w:numPr>
          <w:ilvl w:val="0"/>
          <w:numId w:val="2"/>
        </w:numPr>
        <w:spacing w:after="120" w:line="276"/>
      </w:pPr>
      <w:r>
        <w:rPr>
          <w:rFonts w:ascii="Arial" w:cs="Arial" w:eastAsia="Arial" w:hAnsi="Arial"/>
          <w:b/>
          <w:bCs/>
          <w:color w:val="333333"/>
          <w:sz w:val="22"/>
          <w:szCs w:val="22"/>
        </w:rPr>
        <w:t xml:space="preserve">Delivery reliability trumps messaging: </w:t>
      </w:r>
      <w:r>
        <w:rPr>
          <w:rFonts w:ascii="Arial" w:cs="Arial" w:eastAsia="Arial" w:hAnsi="Arial"/>
          <w:color w:val="333333"/>
          <w:sz w:val="22"/>
          <w:szCs w:val="22"/>
        </w:rPr>
        <w:t xml:space="preserve">“I don’t care what Boeing’s CEO says in a press conference. I care that the aircraft I ordered arrives on time, with the quality issues we flagged last month resolved. That’s the only communication that matters to me.” (Asian carrier procurement VP)</w:t>
      </w:r>
    </w:p>
    <w:p>
      <w:pPr>
        <w:pStyle w:val="ListParagraph"/>
        <w:numPr>
          <w:ilvl w:val="0"/>
          <w:numId w:val="2"/>
        </w:numPr>
        <w:spacing w:after="120" w:line="276"/>
      </w:pPr>
      <w:r>
        <w:rPr>
          <w:rFonts w:ascii="Arial" w:cs="Arial" w:eastAsia="Arial" w:hAnsi="Arial"/>
          <w:b/>
          <w:bCs/>
          <w:color w:val="333333"/>
          <w:sz w:val="22"/>
          <w:szCs w:val="22"/>
        </w:rPr>
        <w:t xml:space="preserve">Brand contamination concern: </w:t>
      </w:r>
      <w:r>
        <w:rPr>
          <w:rFonts w:ascii="Arial" w:cs="Arial" w:eastAsia="Arial" w:hAnsi="Arial"/>
          <w:color w:val="333333"/>
          <w:sz w:val="22"/>
          <w:szCs w:val="22"/>
        </w:rPr>
        <w:t xml:space="preserve">“We’ve tested renaming the 737 Max in our fleet listings. When we list it as ‘Boeing 737-8’, passenger anxiety on that route drops by 11%. The name itself is toxic. We would welcome Boeing deprioritising the Max brand entirely.” (US major airline marketing SVP)</w:t>
      </w:r>
    </w:p>
    <w:p>
      <w:pPr>
        <w:pStyle w:val="Heading1"/>
        <w:pageBreakBefore/>
        <w:spacing w:before="0" w:after="240"/>
      </w:pPr>
      <w:r>
        <w:rPr>
          <w:rFonts w:ascii="Arial" w:cs="Arial" w:eastAsia="Arial" w:hAnsi="Arial"/>
          <w:b/>
          <w:bCs/>
          <w:color w:val="5BA8D6"/>
          <w:sz w:val="32"/>
          <w:szCs w:val="32"/>
        </w:rPr>
        <w:t xml:space="preserve">Boeing Employees</w:t>
      </w:r>
    </w:p>
    <w:p>
      <w:pPr>
        <w:pStyle w:val="Heading2"/>
        <w:spacing w:before="300" w:after="180"/>
      </w:pPr>
      <w:r>
        <w:rPr>
          <w:rFonts w:ascii="Arial" w:cs="Arial" w:eastAsia="Arial" w:hAnsi="Arial"/>
          <w:b/>
          <w:bCs/>
          <w:color w:val="333333"/>
          <w:sz w:val="26"/>
          <w:szCs w:val="26"/>
        </w:rPr>
        <w:t xml:space="preserve">Employee Pulse Survey (n=8,400)</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1100"/>
        <w:gridCol w:w="1100"/>
        <w:gridCol w:w="1100"/>
        <w:gridCol w:w="1100"/>
        <w:gridCol w:w="1626"/>
      </w:tblGrid>
      <w:tr>
        <w:tc>
          <w:tcPr>
            <w:tcW w:type="dxa" w:w="30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Statement</w:t>
            </w:r>
          </w:p>
        </w:tc>
        <w:tc>
          <w:tcPr>
            <w:tcW w:type="dxa" w:w="11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Strongly Agree</w:t>
            </w:r>
          </w:p>
        </w:tc>
        <w:tc>
          <w:tcPr>
            <w:tcW w:type="dxa" w:w="11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Agree</w:t>
            </w:r>
          </w:p>
        </w:tc>
        <w:tc>
          <w:tcPr>
            <w:tcW w:type="dxa" w:w="11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Neutral</w:t>
            </w:r>
          </w:p>
        </w:tc>
        <w:tc>
          <w:tcPr>
            <w:tcW w:type="dxa" w:w="11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Disagree</w:t>
            </w:r>
          </w:p>
        </w:tc>
        <w:tc>
          <w:tcPr>
            <w:tcW w:type="dxa" w:w="16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18"/>
                <w:szCs w:val="18"/>
              </w:rPr>
              <w:t xml:space="preserve">Strongly Disagree</w:t>
            </w:r>
          </w:p>
        </w:tc>
      </w:tr>
      <w:tr>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Safety culture has genuinely improved since 2019</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28%</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44%</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16%</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9%</w:t>
            </w:r>
          </w:p>
        </w:tc>
        <w:tc>
          <w:tcPr>
            <w:tcW w:type="dxa" w:w="16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I am proud to work at Boeing</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22%</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36%</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24%</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12%</w:t>
            </w:r>
          </w:p>
        </w:tc>
        <w:tc>
          <w:tcPr>
            <w:tcW w:type="dxa" w:w="16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6%</w:t>
            </w:r>
          </w:p>
        </w:tc>
      </w:tr>
      <w:tr>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Leadership listens to safety concerns without retaliation</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12%</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26%</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22%</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24%</w:t>
            </w:r>
          </w:p>
        </w:tc>
        <w:tc>
          <w:tcPr>
            <w:tcW w:type="dxa" w:w="16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16%</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I would raise a safety concern through official channels</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19%</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33%</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19%</w:t>
            </w:r>
          </w:p>
        </w:tc>
        <w:tc>
          <w:tcPr>
            <w:tcW w:type="dxa" w:w="16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11%</w:t>
            </w:r>
          </w:p>
        </w:tc>
      </w:tr>
      <w:tr>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I trust current leadership to make the right decisions</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14%</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30%</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28%</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16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10%</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I would recommend Boeing as an employer</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16%</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28%</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26%</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16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12%</w:t>
            </w:r>
          </w:p>
        </w:tc>
      </w:tr>
      <w:tr>
        <w:tc>
          <w:tcPr>
            <w:tcW w:type="dxa" w:w="30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The company has learned from the 737 Max crisis</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24%</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38%</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20%</w:t>
            </w:r>
          </w:p>
        </w:tc>
        <w:tc>
          <w:tcPr>
            <w:tcW w:type="dxa" w:w="11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12%</w:t>
            </w:r>
          </w:p>
        </w:tc>
        <w:tc>
          <w:tcPr>
            <w:tcW w:type="dxa" w:w="16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6%</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External media coverage reflects the Boeing I experience</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8%</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18%</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22%</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32%</w:t>
            </w:r>
          </w:p>
        </w:tc>
        <w:tc>
          <w:tcPr>
            <w:tcW w:type="dxa" w:w="16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20%</w:t>
            </w:r>
          </w:p>
        </w:tc>
      </w:tr>
    </w:tbl>
    <w:p>
      <w:pPr>
        <w:pStyle w:val="Heading2"/>
        <w:spacing w:before="300" w:after="180"/>
      </w:pPr>
      <w:r>
        <w:rPr>
          <w:rFonts w:ascii="Arial" w:cs="Arial" w:eastAsia="Arial" w:hAnsi="Arial"/>
          <w:b/>
          <w:bCs/>
          <w:color w:val="333333"/>
          <w:sz w:val="26"/>
          <w:szCs w:val="26"/>
        </w:rPr>
        <w:t xml:space="preserve">The Critical Gap</w:t>
      </w:r>
    </w:p>
    <w:p>
      <w:pPr>
        <w:spacing w:after="200" w:before="0" w:line="276"/>
        <w:jc w:val="left"/>
      </w:pPr>
      <w:r>
        <w:rPr>
          <w:rFonts w:ascii="Arial" w:cs="Arial" w:eastAsia="Arial" w:hAnsi="Arial"/>
          <w:b/>
          <w:bCs/>
          <w:color w:val="333333"/>
          <w:sz w:val="22"/>
          <w:szCs w:val="22"/>
        </w:rPr>
        <w:t xml:space="preserve">72% of engineers believe safety culture has genuinely improved. Only 38% believe leadership listens without retaliation. </w:t>
      </w:r>
      <w:r>
        <w:rPr>
          <w:rFonts w:ascii="Arial" w:cs="Arial" w:eastAsia="Arial" w:hAnsi="Arial"/>
          <w:color w:val="333333"/>
          <w:sz w:val="22"/>
          <w:szCs w:val="22"/>
        </w:rPr>
        <w:t xml:space="preserve">This is the most important internal finding. Employees see improvement in systems and processes, but they do not trust the leadership layer to protect them if they raise concerns. The culture has changed at the working level. The question is whether it has changed at the management level.</w:t>
      </w:r>
    </w:p>
    <w:p>
      <w:pPr>
        <w:spacing w:after="200" w:before="0" w:line="276"/>
        <w:jc w:val="left"/>
      </w:pPr>
      <w:r>
        <w:rPr>
          <w:rFonts w:ascii="Arial" w:cs="Arial" w:eastAsia="Arial" w:hAnsi="Arial"/>
          <w:b w:val="false"/>
          <w:bCs w:val="false"/>
          <w:i w:val="false"/>
          <w:iCs w:val="false"/>
          <w:color w:val="333333"/>
          <w:sz w:val="22"/>
          <w:szCs w:val="22"/>
        </w:rPr>
        <w:t xml:space="preserve">Additional employee insights from open-text responses:</w:t>
      </w:r>
    </w:p>
    <w:p>
      <w:pPr>
        <w:pStyle w:val="ListParagraph"/>
        <w:numPr>
          <w:ilvl w:val="0"/>
          <w:numId w:val="2"/>
        </w:numPr>
        <w:spacing w:after="120" w:line="276"/>
      </w:pPr>
      <w:r>
        <w:rPr>
          <w:rFonts w:ascii="Arial" w:cs="Arial" w:eastAsia="Arial" w:hAnsi="Arial"/>
          <w:b/>
          <w:bCs/>
          <w:color w:val="333333"/>
          <w:sz w:val="22"/>
          <w:szCs w:val="22"/>
        </w:rPr>
        <w:t xml:space="preserve">Pride in craft, shame in brand: </w:t>
      </w:r>
      <w:r>
        <w:rPr>
          <w:rFonts w:ascii="Arial" w:cs="Arial" w:eastAsia="Arial" w:hAnsi="Arial"/>
          <w:color w:val="333333"/>
          <w:sz w:val="22"/>
          <w:szCs w:val="22"/>
        </w:rPr>
        <w:t xml:space="preserve">“I build the safest aircraft in the world. But I’ve stopped telling people at parties that I work at Boeing.” (Engineer, Renton facility, 14 years tenure)</w:t>
      </w:r>
    </w:p>
    <w:p>
      <w:pPr>
        <w:pStyle w:val="ListParagraph"/>
        <w:numPr>
          <w:ilvl w:val="0"/>
          <w:numId w:val="2"/>
        </w:numPr>
        <w:spacing w:after="120" w:line="276"/>
      </w:pPr>
      <w:r>
        <w:rPr>
          <w:rFonts w:ascii="Arial" w:cs="Arial" w:eastAsia="Arial" w:hAnsi="Arial"/>
          <w:b/>
          <w:bCs/>
          <w:color w:val="333333"/>
          <w:sz w:val="22"/>
          <w:szCs w:val="22"/>
        </w:rPr>
        <w:t xml:space="preserve">Initiative fatigue: </w:t>
      </w:r>
      <w:r>
        <w:rPr>
          <w:rFonts w:ascii="Arial" w:cs="Arial" w:eastAsia="Arial" w:hAnsi="Arial"/>
          <w:color w:val="333333"/>
          <w:sz w:val="22"/>
          <w:szCs w:val="22"/>
        </w:rPr>
        <w:t xml:space="preserve">“We’ve had four safety culture programmes since 2019. Each one comes with new posters, new slogans, new town halls. What we need is not another programme. We need leadership to actually listen when we flag a problem on the line.” (Quality inspector, Everett, 8 years tenure)</w:t>
      </w:r>
    </w:p>
    <w:p>
      <w:pPr>
        <w:pStyle w:val="ListParagraph"/>
        <w:numPr>
          <w:ilvl w:val="0"/>
          <w:numId w:val="2"/>
        </w:numPr>
        <w:spacing w:after="120" w:line="276"/>
      </w:pPr>
      <w:r>
        <w:rPr>
          <w:rFonts w:ascii="Arial" w:cs="Arial" w:eastAsia="Arial" w:hAnsi="Arial"/>
          <w:b/>
          <w:bCs/>
          <w:color w:val="333333"/>
          <w:sz w:val="22"/>
          <w:szCs w:val="22"/>
        </w:rPr>
        <w:t xml:space="preserve">The retaliation question: </w:t>
      </w:r>
      <w:r>
        <w:rPr>
          <w:rFonts w:ascii="Arial" w:cs="Arial" w:eastAsia="Arial" w:hAnsi="Arial"/>
          <w:color w:val="333333"/>
          <w:sz w:val="22"/>
          <w:szCs w:val="22"/>
        </w:rPr>
        <w:t xml:space="preserve">“I know two people who raised quality concerns through official channels. One was reassigned. One was laid off in the next round. Maybe it was coincidence. But nobody wants to find out.” (Manufacturing supervisor, Charleston, 6 years tenure)</w:t>
      </w:r>
    </w:p>
    <w:p>
      <w:pPr>
        <w:pStyle w:val="ListParagraph"/>
        <w:numPr>
          <w:ilvl w:val="0"/>
          <w:numId w:val="2"/>
        </w:numPr>
        <w:spacing w:after="120" w:line="276"/>
      </w:pPr>
      <w:r>
        <w:rPr>
          <w:rFonts w:ascii="Arial" w:cs="Arial" w:eastAsia="Arial" w:hAnsi="Arial"/>
          <w:b/>
          <w:bCs/>
          <w:color w:val="333333"/>
          <w:sz w:val="22"/>
          <w:szCs w:val="22"/>
        </w:rPr>
        <w:t xml:space="preserve">Media disconnect: </w:t>
      </w:r>
      <w:r>
        <w:rPr>
          <w:rFonts w:ascii="Arial" w:cs="Arial" w:eastAsia="Arial" w:hAnsi="Arial"/>
          <w:color w:val="333333"/>
          <w:sz w:val="22"/>
          <w:szCs w:val="22"/>
        </w:rPr>
        <w:t xml:space="preserve">“The Boeing in the news is not the Boeing I work in every day. We are better than the coverage suggests. But I understand why people are sceptical, because management has lied before.” (Systems engineer, Seattle, 11 years tenure)</w:t>
      </w:r>
    </w:p>
    <w:p>
      <w:pPr>
        <w:pStyle w:val="Heading1"/>
        <w:pageBreakBefore/>
        <w:spacing w:before="0" w:after="240"/>
      </w:pPr>
      <w:r>
        <w:rPr>
          <w:rFonts w:ascii="Arial" w:cs="Arial" w:eastAsia="Arial" w:hAnsi="Arial"/>
          <w:b/>
          <w:bCs/>
          <w:color w:val="5BA8D6"/>
          <w:sz w:val="32"/>
          <w:szCs w:val="32"/>
        </w:rPr>
        <w:t xml:space="preserve">Victims’ Families and Advocacy Groups</w:t>
      </w:r>
    </w:p>
    <w:p>
      <w:pPr>
        <w:pStyle w:val="Heading2"/>
        <w:spacing w:before="300" w:after="180"/>
      </w:pPr>
      <w:r>
        <w:rPr>
          <w:rFonts w:ascii="Arial" w:cs="Arial" w:eastAsia="Arial" w:hAnsi="Arial"/>
          <w:b/>
          <w:bCs/>
          <w:color w:val="333333"/>
          <w:sz w:val="26"/>
          <w:szCs w:val="26"/>
        </w:rPr>
        <w:t xml:space="preserve">Contextual Analysis (not direct research)</w:t>
      </w:r>
    </w:p>
    <w:p>
      <w:pPr>
        <w:spacing w:after="200" w:before="0" w:line="276"/>
        <w:jc w:val="left"/>
      </w:pPr>
      <w:r>
        <w:rPr>
          <w:rFonts w:ascii="Arial" w:cs="Arial" w:eastAsia="Arial" w:hAnsi="Arial"/>
          <w:b w:val="false"/>
          <w:bCs w:val="false"/>
          <w:i w:val="false"/>
          <w:iCs w:val="false"/>
          <w:color w:val="333333"/>
          <w:sz w:val="22"/>
          <w:szCs w:val="22"/>
        </w:rPr>
        <w:t xml:space="preserve">Direct research with victims’ families was not conducted for ethical reasons. This section synthesises publicly available statements, Congressional testimony, and legal filings.</w:t>
      </w:r>
    </w:p>
    <w:p>
      <w:pPr>
        <w:pStyle w:val="ListParagraph"/>
        <w:numPr>
          <w:ilvl w:val="0"/>
          <w:numId w:val="2"/>
        </w:numPr>
        <w:spacing w:after="120" w:line="276"/>
      </w:pPr>
      <w:r>
        <w:rPr>
          <w:rFonts w:ascii="Arial" w:cs="Arial" w:eastAsia="Arial" w:hAnsi="Arial"/>
          <w:b/>
          <w:bCs/>
          <w:color w:val="333333"/>
          <w:sz w:val="22"/>
          <w:szCs w:val="22"/>
        </w:rPr>
        <w:t xml:space="preserve">Any “moving on” narrative is hostile territory: </w:t>
      </w:r>
      <w:r>
        <w:rPr>
          <w:rFonts w:ascii="Arial" w:cs="Arial" w:eastAsia="Arial" w:hAnsi="Arial"/>
          <w:color w:val="333333"/>
          <w:sz w:val="22"/>
          <w:szCs w:val="22"/>
        </w:rPr>
        <w:t xml:space="preserve">Families have consistently opposed any Boeing communications that imply the company has addressed the crisis and is looking forward. Public statements from advocacy groups explicitly frame “moving on” language as disrespectful to the 346 people who died.</w:t>
      </w:r>
    </w:p>
    <w:p>
      <w:pPr>
        <w:pStyle w:val="ListParagraph"/>
        <w:numPr>
          <w:ilvl w:val="0"/>
          <w:numId w:val="2"/>
        </w:numPr>
        <w:spacing w:after="120" w:line="276"/>
      </w:pPr>
      <w:r>
        <w:rPr>
          <w:rFonts w:ascii="Arial" w:cs="Arial" w:eastAsia="Arial" w:hAnsi="Arial"/>
          <w:b/>
          <w:bCs/>
          <w:color w:val="333333"/>
          <w:sz w:val="22"/>
          <w:szCs w:val="22"/>
        </w:rPr>
        <w:t xml:space="preserve">Criminal accountability remains the primary demand: </w:t>
      </w:r>
      <w:r>
        <w:rPr>
          <w:rFonts w:ascii="Arial" w:cs="Arial" w:eastAsia="Arial" w:hAnsi="Arial"/>
          <w:color w:val="333333"/>
          <w:sz w:val="22"/>
          <w:szCs w:val="22"/>
        </w:rPr>
        <w:t xml:space="preserve">The rejection of the original DPA by a federal judge in 2024 was welcomed by families. Their advocacy is focused on criminal prosecution of individuals, not corporate apology. No communications strategy can satisfy this demand.</w:t>
      </w:r>
    </w:p>
    <w:p>
      <w:pPr>
        <w:pStyle w:val="ListParagraph"/>
        <w:numPr>
          <w:ilvl w:val="0"/>
          <w:numId w:val="2"/>
        </w:numPr>
        <w:spacing w:after="120" w:line="276"/>
      </w:pPr>
      <w:r>
        <w:rPr>
          <w:rFonts w:ascii="Arial" w:cs="Arial" w:eastAsia="Arial" w:hAnsi="Arial"/>
          <w:b/>
          <w:bCs/>
          <w:color w:val="333333"/>
          <w:sz w:val="22"/>
          <w:szCs w:val="22"/>
        </w:rPr>
        <w:t xml:space="preserve">Monitoring is constant: </w:t>
      </w:r>
      <w:r>
        <w:rPr>
          <w:rFonts w:ascii="Arial" w:cs="Arial" w:eastAsia="Arial" w:hAnsi="Arial"/>
          <w:color w:val="333333"/>
          <w:sz w:val="22"/>
          <w:szCs w:val="22"/>
        </w:rPr>
        <w:t xml:space="preserve">Advocacy groups monitor every Boeing public statement, advertising campaign, and executive interview. Any perceived insensitivity is immediately amplified through media contacts and Congressional relationships.</w:t>
      </w:r>
    </w:p>
    <w:p>
      <w:pPr>
        <w:spacing w:after="200" w:before="0" w:line="276"/>
        <w:jc w:val="left"/>
      </w:pPr>
      <w:r>
        <w:rPr>
          <w:rFonts w:ascii="Arial" w:cs="Arial" w:eastAsia="Arial" w:hAnsi="Arial"/>
          <w:b/>
          <w:bCs/>
          <w:color w:val="333333"/>
          <w:sz w:val="22"/>
          <w:szCs w:val="22"/>
        </w:rPr>
        <w:t xml:space="preserve">Strategic implication: </w:t>
      </w:r>
      <w:r>
        <w:rPr>
          <w:rFonts w:ascii="Arial" w:cs="Arial" w:eastAsia="Arial" w:hAnsi="Arial"/>
          <w:color w:val="333333"/>
          <w:sz w:val="22"/>
          <w:szCs w:val="22"/>
        </w:rPr>
        <w:t xml:space="preserve">Victims’ families cannot be “managed” through communications. They represent a permanent constraint on Boeing’s tone and messaging. Any communications approach must assume that victims’ families will scrutinise it and respond to any perceived insensitivity with media coverage. This is not a stakeholder group to be addressed. It is a constraint to be respected.</w:t>
      </w:r>
    </w:p>
    <w:p>
      <w:pPr>
        <w:pStyle w:val="Heading1"/>
        <w:pageBreakBefore/>
        <w:spacing w:before="0" w:after="240"/>
      </w:pPr>
      <w:r>
        <w:rPr>
          <w:rFonts w:ascii="Arial" w:cs="Arial" w:eastAsia="Arial" w:hAnsi="Arial"/>
          <w:b/>
          <w:bCs/>
          <w:color w:val="5BA8D6"/>
          <w:sz w:val="32"/>
          <w:szCs w:val="32"/>
        </w:rPr>
        <w:t xml:space="preserve">Strategic Implications</w:t>
      </w:r>
    </w:p>
    <w:p>
      <w:pPr>
        <w:pStyle w:val="Heading2"/>
        <w:spacing w:before="300" w:after="180"/>
      </w:pPr>
      <w:r>
        <w:rPr>
          <w:rFonts w:ascii="Arial" w:cs="Arial" w:eastAsia="Arial" w:hAnsi="Arial"/>
          <w:b/>
          <w:bCs/>
          <w:color w:val="333333"/>
          <w:sz w:val="26"/>
          <w:szCs w:val="26"/>
        </w:rPr>
        <w:t xml:space="preserve">The Trust Architecture</w:t>
      </w:r>
    </w:p>
    <w:p>
      <w:pPr>
        <w:spacing w:after="200" w:before="0" w:line="276"/>
        <w:jc w:val="left"/>
      </w:pPr>
      <w:r>
        <w:rPr>
          <w:rFonts w:ascii="Arial" w:cs="Arial" w:eastAsia="Arial" w:hAnsi="Arial"/>
          <w:b w:val="false"/>
          <w:bCs w:val="false"/>
          <w:i w:val="false"/>
          <w:iCs w:val="false"/>
          <w:color w:val="333333"/>
          <w:sz w:val="22"/>
          <w:szCs w:val="22"/>
        </w:rPr>
        <w:t xml:space="preserve">This research reveals a trust architecture with three layers:</w:t>
      </w:r>
    </w:p>
    <w:p>
      <w:pPr>
        <w:pStyle w:val="ListParagraph"/>
        <w:numPr>
          <w:ilvl w:val="0"/>
          <w:numId w:val="2"/>
        </w:numPr>
        <w:spacing w:after="120" w:line="276"/>
      </w:pPr>
      <w:r>
        <w:rPr>
          <w:rFonts w:ascii="Arial" w:cs="Arial" w:eastAsia="Arial" w:hAnsi="Arial"/>
          <w:b/>
          <w:bCs/>
          <w:color w:val="333333"/>
          <w:sz w:val="22"/>
          <w:szCs w:val="22"/>
        </w:rPr>
        <w:t xml:space="preserve">Layer 1: Operational trust (regulators, airlines). </w:t>
      </w:r>
      <w:r>
        <w:rPr>
          <w:rFonts w:ascii="Arial" w:cs="Arial" w:eastAsia="Arial" w:hAnsi="Arial"/>
          <w:color w:val="333333"/>
          <w:sz w:val="22"/>
          <w:szCs w:val="22"/>
        </w:rPr>
        <w:t xml:space="preserve">Rebuilt through data, compliance, and delivery performance. Communications role: minimal. Evidence role: maximum.</w:t>
      </w:r>
    </w:p>
    <w:p>
      <w:pPr>
        <w:pStyle w:val="ListParagraph"/>
        <w:numPr>
          <w:ilvl w:val="0"/>
          <w:numId w:val="2"/>
        </w:numPr>
        <w:spacing w:after="120" w:line="276"/>
      </w:pPr>
      <w:r>
        <w:rPr>
          <w:rFonts w:ascii="Arial" w:cs="Arial" w:eastAsia="Arial" w:hAnsi="Arial"/>
          <w:b/>
          <w:bCs/>
          <w:color w:val="333333"/>
          <w:sz w:val="22"/>
          <w:szCs w:val="22"/>
        </w:rPr>
        <w:t xml:space="preserve">Layer 2: Professional trust (employees, industry). </w:t>
      </w:r>
      <w:r>
        <w:rPr>
          <w:rFonts w:ascii="Arial" w:cs="Arial" w:eastAsia="Arial" w:hAnsi="Arial"/>
          <w:color w:val="333333"/>
          <w:sz w:val="22"/>
          <w:szCs w:val="22"/>
        </w:rPr>
        <w:t xml:space="preserve">Rebuilt through leadership behaviour, whistleblower protection, and visible consequences for safety failures. Communications role: internal, honest, stripped of corporate rhetoric.</w:t>
      </w:r>
    </w:p>
    <w:p>
      <w:pPr>
        <w:pStyle w:val="ListParagraph"/>
        <w:numPr>
          <w:ilvl w:val="0"/>
          <w:numId w:val="2"/>
        </w:numPr>
        <w:spacing w:after="120" w:line="276"/>
      </w:pPr>
      <w:r>
        <w:rPr>
          <w:rFonts w:ascii="Arial" w:cs="Arial" w:eastAsia="Arial" w:hAnsi="Arial"/>
          <w:b/>
          <w:bCs/>
          <w:color w:val="333333"/>
          <w:sz w:val="22"/>
          <w:szCs w:val="22"/>
        </w:rPr>
        <w:t xml:space="preserve">Layer 3: Public trust (flying public, media). </w:t>
      </w:r>
      <w:r>
        <w:rPr>
          <w:rFonts w:ascii="Arial" w:cs="Arial" w:eastAsia="Arial" w:hAnsi="Arial"/>
          <w:color w:val="333333"/>
          <w:sz w:val="22"/>
          <w:szCs w:val="22"/>
        </w:rPr>
        <w:t xml:space="preserve">Rebuilt through time, absence of incidents, and third-party validation. Communications role: Boeing should not be the primary voice. Let regulators, airlines, and independent experts do the reassuring.</w:t>
      </w:r>
    </w:p>
    <w:p>
      <w:pPr>
        <w:spacing w:after="200" w:before="0" w:line="276"/>
        <w:jc w:val="left"/>
      </w:pPr>
      <w:r>
        <w:rPr>
          <w:rFonts w:ascii="Arial" w:cs="Arial" w:eastAsia="Arial" w:hAnsi="Arial"/>
          <w:b/>
          <w:bCs/>
          <w:color w:val="333333"/>
          <w:sz w:val="22"/>
          <w:szCs w:val="22"/>
        </w:rPr>
        <w:t xml:space="preserve">The central recommendation from this research is counterintuitive: Boeing’s most effective communications strategy may be to communicate less, not more. </w:t>
      </w:r>
      <w:r>
        <w:rPr>
          <w:rFonts w:ascii="Arial" w:cs="Arial" w:eastAsia="Arial" w:hAnsi="Arial"/>
          <w:color w:val="333333"/>
          <w:sz w:val="22"/>
          <w:szCs w:val="22"/>
        </w:rPr>
        <w:t xml:space="preserve">Every data point suggests that Boeing’s own voice is counterproductive for public reassurance. The company’s credibility has been so deeply damaged that self-advocacy activates scepticism. The path to trust recovery runs through third-party validation and operational evidence, not through corporate messaging.</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6"/>
        <w:szCs w:val="16"/>
      </w:rPr>
      <w:t xml:space="preserve">Boeing Stakeholder Research  |  Page </w:t>
    </w:r>
    <w:r>
      <w:rPr>
        <w:rFonts w:ascii="Arial" w:cs="Arial" w:eastAsia="Arial" w:hAnsi="Arial"/>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999999"/>
        <w:sz w:val="16"/>
        <w:szCs w:val="16"/>
      </w:rPr>
      <w:t xml:space="preserve">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0" w:after="240"/>
      <w:outlineLvl w:val="0"/>
    </w:pPr>
    <w:rPr>
      <w:rFonts w:ascii="Arial" w:cs="Arial" w:eastAsia="Arial" w:hAnsi="Arial"/>
      <w:b/>
      <w:bCs/>
      <w:color w:val="5BA8D6"/>
      <w:sz w:val="32"/>
      <w:szCs w:val="32"/>
    </w:rPr>
  </w:style>
  <w:style w:type="paragraph" w:styleId="Heading2">
    <w:name w:val="Heading 2"/>
    <w:basedOn w:val="Normal"/>
    <w:next w:val="Normal"/>
    <w:qFormat/>
    <w:pPr>
      <w:spacing w:before="300" w:after="180"/>
      <w:outlineLvl w:val="1"/>
    </w:pPr>
    <w:rPr>
      <w:rFonts w:ascii="Arial" w:cs="Arial" w:eastAsia="Arial" w:hAnsi="Arial"/>
      <w:b/>
      <w:bCs/>
      <w:color w:val="33333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2026-02-19T15:36:27.369Z</dcterms:created>
  <dcterms:modified xsi:type="dcterms:W3CDTF">2026-02-19T15:36:27.370Z</dcterms:modified>
</cp:coreProperties>
</file>

<file path=docProps/custom.xml><?xml version="1.0" encoding="utf-8"?>
<Properties xmlns="http://schemas.openxmlformats.org/officeDocument/2006/custom-properties" xmlns:vt="http://schemas.openxmlformats.org/officeDocument/2006/docPropsVTypes"/>
</file>